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81277" w14:paraId="0BB08650" w14:textId="77777777" w:rsidTr="000C482A">
        <w:tc>
          <w:tcPr>
            <w:tcW w:w="9350" w:type="dxa"/>
            <w:shd w:val="clear" w:color="auto" w:fill="FFFF00"/>
          </w:tcPr>
          <w:p w14:paraId="11954DEE" w14:textId="77777777" w:rsidR="00481277" w:rsidRDefault="00481277" w:rsidP="000C482A">
            <w:pPr>
              <w:jc w:val="center"/>
              <w:rPr>
                <w:b/>
                <w:bCs/>
              </w:rPr>
            </w:pPr>
            <w:bookmarkStart w:id="0" w:name="_Hlk216182949"/>
            <w:bookmarkStart w:id="1" w:name="_Hlk220085405"/>
            <w:r>
              <w:rPr>
                <w:b/>
                <w:bCs/>
              </w:rPr>
              <w:t>Please Note: These side effect tables for commercial agents are provided as a resource for research staff. This document is not approved by the NCI CIRB as a patient information sheet for use in conjunction with a clinical trial.</w:t>
            </w:r>
          </w:p>
          <w:p w14:paraId="27DB5225" w14:textId="77777777" w:rsidR="00481277" w:rsidRDefault="00481277" w:rsidP="000C482A">
            <w:pPr>
              <w:jc w:val="center"/>
            </w:pPr>
            <w:r>
              <w:t xml:space="preserve">Only use these tables </w:t>
            </w:r>
            <w:r w:rsidRPr="00433935">
              <w:t xml:space="preserve">as Patient Educational Materials for a clinical trial if </w:t>
            </w:r>
            <w:r>
              <w:t xml:space="preserve">the </w:t>
            </w:r>
            <w:r w:rsidRPr="00433935">
              <w:t>IRB of record for the specific trial</w:t>
            </w:r>
            <w:r>
              <w:t xml:space="preserve"> has reviewed and approved them</w:t>
            </w:r>
            <w:r w:rsidRPr="00433935">
              <w:t xml:space="preserve"> for that purpose.</w:t>
            </w:r>
          </w:p>
          <w:p w14:paraId="23EB0F23" w14:textId="77777777" w:rsidR="00481277" w:rsidRPr="00151F1D" w:rsidRDefault="00481277" w:rsidP="000C482A">
            <w:pPr>
              <w:jc w:val="center"/>
            </w:pPr>
            <w:r>
              <w:t>US sites participating in CTEP-supported clinical trial networks can find protocol-specific NCI CIRB-approved patient educational materials on the protocol page on the CTSU website.</w:t>
            </w:r>
          </w:p>
        </w:tc>
      </w:tr>
    </w:tbl>
    <w:p w14:paraId="0E1D6150" w14:textId="77777777" w:rsidR="00481277" w:rsidRDefault="00481277" w:rsidP="00481277"/>
    <w:p w14:paraId="182B0106" w14:textId="400E69B6" w:rsidR="00481277" w:rsidRPr="00E6046E" w:rsidRDefault="00481277" w:rsidP="00481277">
      <w:pPr>
        <w:pStyle w:val="Heading1"/>
        <w:rPr>
          <w:b w:val="0"/>
        </w:rPr>
      </w:pPr>
      <w:r w:rsidRPr="00E6046E">
        <w:t xml:space="preserve">Possible Side Effects of </w:t>
      </w:r>
      <w:r w:rsidRPr="0062428D">
        <w:t>VAC (Vincristine, Dactinomycin, Cyclophosphamide)</w:t>
      </w:r>
      <w:r w:rsidRPr="00E6046E">
        <w:t xml:space="preserve"> (Table Version Date: </w:t>
      </w:r>
      <w:r w:rsidR="00A05D5E">
        <w:t>April</w:t>
      </w:r>
      <w:r>
        <w:t xml:space="preserve"> 1</w:t>
      </w:r>
      <w:r w:rsidR="00A05D5E">
        <w:t>5</w:t>
      </w:r>
      <w:r>
        <w:t>, 202</w:t>
      </w:r>
      <w:r w:rsidR="00A05D5E">
        <w:t>2</w:t>
      </w:r>
      <w:r w:rsidRPr="00E6046E">
        <w:t>)</w:t>
      </w:r>
    </w:p>
    <w:bookmarkEnd w:id="0"/>
    <w:p w14:paraId="44D2F72E" w14:textId="77777777" w:rsidR="00481277" w:rsidRPr="00E6046E" w:rsidRDefault="00481277" w:rsidP="00481277">
      <w:r w:rsidRPr="00E6046E">
        <w:t>These side effect tables for standard cancer therapies are provided as a resource. Look at the prescribing information or FDA package insert for the most complete and up-to-date information.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7CF079C5" w14:textId="77777777" w:rsidTr="004A39AB">
        <w:trPr>
          <w:cantSplit/>
          <w:tblHeader/>
        </w:trPr>
        <w:tc>
          <w:tcPr>
            <w:tcW w:w="9350" w:type="dxa"/>
          </w:tcPr>
          <w:p w14:paraId="39EC781E" w14:textId="6038AA02" w:rsidR="004A39AB" w:rsidRPr="00CF48CE" w:rsidRDefault="001A6E81" w:rsidP="004A39AB">
            <w:pPr>
              <w:spacing w:after="0"/>
              <w:jc w:val="center"/>
              <w:rPr>
                <w:rStyle w:val="Strong"/>
              </w:rPr>
            </w:pPr>
            <w:bookmarkStart w:id="2" w:name="_Hlk195280665"/>
            <w:bookmarkEnd w:id="1"/>
            <w:r w:rsidRPr="00CF48CE">
              <w:rPr>
                <w:rStyle w:val="Strong"/>
              </w:rPr>
              <w:t>Common side effects</w:t>
            </w:r>
            <w:r w:rsidR="00847E94" w:rsidRPr="00CF48CE">
              <w:rPr>
                <w:rStyle w:val="Strong"/>
              </w:rPr>
              <w:t xml:space="preserve"> (some may be serious)</w:t>
            </w:r>
          </w:p>
          <w:p w14:paraId="085D436E" w14:textId="2902D786" w:rsidR="004A39AB" w:rsidRPr="004A39AB" w:rsidRDefault="004A39AB" w:rsidP="004A39AB">
            <w:pPr>
              <w:spacing w:after="0"/>
              <w:jc w:val="center"/>
            </w:pPr>
            <w:r>
              <w:t xml:space="preserve">In 100 people receiving </w:t>
            </w:r>
            <w:r w:rsidR="0062428D" w:rsidRPr="0062428D">
              <w:t>VAC (Vincristine, Dactinomycin, Cyclophosphamide)</w:t>
            </w:r>
            <w:r w:rsidRPr="0062428D">
              <w:t>,</w:t>
            </w:r>
            <w:r>
              <w:t xml:space="preserve"> more than 20 and up to 100 may have:</w:t>
            </w:r>
          </w:p>
        </w:tc>
      </w:tr>
      <w:tr w:rsidR="0062428D" w14:paraId="3302E35E" w14:textId="77777777" w:rsidTr="004A39AB">
        <w:tc>
          <w:tcPr>
            <w:tcW w:w="9350" w:type="dxa"/>
          </w:tcPr>
          <w:p w14:paraId="029E09F9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Infection, possibly in the blood, especially when white blood cell count is low</w:t>
            </w:r>
          </w:p>
          <w:p w14:paraId="03F1591F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Anemia which may cause tiredness, or may require transfusion</w:t>
            </w:r>
          </w:p>
          <w:p w14:paraId="5CF4AE90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Bruising, bleeding</w:t>
            </w:r>
          </w:p>
          <w:p w14:paraId="31D9B2E7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Blood in urine</w:t>
            </w:r>
          </w:p>
          <w:p w14:paraId="07B1285B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Nausea, vomiting, loss of appetite, diarrhea, pain in belly</w:t>
            </w:r>
          </w:p>
          <w:p w14:paraId="3265D5C5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Constipation, which may be severe, as a result of a bowel blockage</w:t>
            </w:r>
          </w:p>
          <w:p w14:paraId="07C6AE94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Sores in mouth or throat which may cause difficulty swallowing</w:t>
            </w:r>
          </w:p>
          <w:p w14:paraId="6C24063B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Absence of menstrual period which may decrease the ability to have children</w:t>
            </w:r>
          </w:p>
          <w:p w14:paraId="3D0FF48E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Numbness and tingling of fingers or toes</w:t>
            </w:r>
          </w:p>
          <w:p w14:paraId="2825AD73" w14:textId="410B0A35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Headache, jaw pain</w:t>
            </w:r>
            <w:r w:rsidR="00E418CE">
              <w:t>,</w:t>
            </w:r>
            <w:r w:rsidRPr="0062428D">
              <w:t xml:space="preserve"> muscle pain</w:t>
            </w:r>
          </w:p>
          <w:p w14:paraId="487BE1A7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Muscle weakness and difficulty walking</w:t>
            </w:r>
          </w:p>
          <w:p w14:paraId="538CAB71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Swelling of lower legs</w:t>
            </w:r>
          </w:p>
          <w:p w14:paraId="5699FDD8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Fever, tiredness</w:t>
            </w:r>
          </w:p>
          <w:p w14:paraId="6CAC219B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Pain, swelling, or redness at the site of injection</w:t>
            </w:r>
          </w:p>
          <w:p w14:paraId="307C7E37" w14:textId="229224DB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2428D">
              <w:t>Hair loss, skin changes, rash, change in nails</w:t>
            </w:r>
          </w:p>
        </w:tc>
      </w:tr>
    </w:tbl>
    <w:p w14:paraId="2FC3904F" w14:textId="77777777" w:rsidR="004A39AB" w:rsidRPr="0062428D" w:rsidRDefault="004A39AB" w:rsidP="0062428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6D2F73F4" w14:textId="77777777" w:rsidTr="004A39AB">
        <w:trPr>
          <w:cantSplit/>
          <w:tblHeader/>
        </w:trPr>
        <w:tc>
          <w:tcPr>
            <w:tcW w:w="9350" w:type="dxa"/>
          </w:tcPr>
          <w:p w14:paraId="0558D5C4" w14:textId="78DF076F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Occasional side effects</w:t>
            </w:r>
            <w:r w:rsidR="00847E94">
              <w:rPr>
                <w:b/>
                <w:bCs/>
              </w:rPr>
              <w:t xml:space="preserve"> (some may be serious)</w:t>
            </w:r>
          </w:p>
          <w:p w14:paraId="3C0D818B" w14:textId="0929BA10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2428D" w:rsidRPr="0062428D">
              <w:t>VAC (Vincristine, Dactinomycin, Cyclophosphamide)</w:t>
            </w:r>
            <w:r w:rsidRPr="0062428D">
              <w:t>,</w:t>
            </w:r>
            <w:r>
              <w:t xml:space="preserve"> from 4 to 20 may have:</w:t>
            </w:r>
          </w:p>
        </w:tc>
      </w:tr>
      <w:tr w:rsidR="0062428D" w14:paraId="676063A8" w14:textId="77777777" w:rsidTr="00105F93">
        <w:tc>
          <w:tcPr>
            <w:tcW w:w="9350" w:type="dxa"/>
          </w:tcPr>
          <w:p w14:paraId="7B247603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Fluid around the heart</w:t>
            </w:r>
          </w:p>
          <w:p w14:paraId="40D04DB2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High blood pressure which may cause headaches, dizziness, blurred vision</w:t>
            </w:r>
          </w:p>
          <w:p w14:paraId="12418234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lastRenderedPageBreak/>
              <w:t>Low blood pressure which may cause feeling faint</w:t>
            </w:r>
          </w:p>
          <w:p w14:paraId="762CC4E0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Swelling of the body including the brain which may cause dizziness, confusion</w:t>
            </w:r>
          </w:p>
          <w:p w14:paraId="2E89CA39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Paralysis</w:t>
            </w:r>
          </w:p>
          <w:p w14:paraId="771FC87E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Damage to the bone marrow (irreversible) which may cause infection, bleeding, may require transfusions</w:t>
            </w:r>
          </w:p>
          <w:p w14:paraId="195B772C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Sinusoidal obstructive syndrome (SOS) which may cause damage to the liver, yellowing of eyes and skin, swelling and bleeding</w:t>
            </w:r>
          </w:p>
          <w:p w14:paraId="64F78DF3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Difficulty emptying the bladder or urinating, excessive, frequent, or painful urination</w:t>
            </w:r>
          </w:p>
          <w:p w14:paraId="080DA19C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Sores in bowels which may cause pain</w:t>
            </w:r>
          </w:p>
          <w:p w14:paraId="0DFD9A98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Loss or absence of sperm which may lead to an inability to father children</w:t>
            </w:r>
          </w:p>
          <w:p w14:paraId="5520602E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Stevens-Johnson syndrome which may cause severe skin rash with blisters and peeling and can involve inside of mouth and other parts of the body</w:t>
            </w:r>
          </w:p>
          <w:p w14:paraId="5616AFEF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Difficulty with balance and hearing</w:t>
            </w:r>
          </w:p>
          <w:p w14:paraId="3F683AE4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Drooping eyelids, abnormal eye movement</w:t>
            </w:r>
          </w:p>
          <w:p w14:paraId="1CA81938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Hoarseness</w:t>
            </w:r>
          </w:p>
          <w:p w14:paraId="50805C43" w14:textId="77DC2B65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2428D">
              <w:t>Radiation recall syndrome which may cause swelling and redness of the area of radiation</w:t>
            </w:r>
          </w:p>
        </w:tc>
      </w:tr>
    </w:tbl>
    <w:p w14:paraId="608C5003" w14:textId="77777777" w:rsidR="004A39AB" w:rsidRPr="0062428D" w:rsidRDefault="004A39AB" w:rsidP="0062428D">
      <w:pPr>
        <w:spacing w:after="0"/>
        <w:ind w:left="173" w:hanging="173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50"/>
      </w:tblGrid>
      <w:tr w:rsidR="004A39AB" w14:paraId="50E1222D" w14:textId="77777777" w:rsidTr="00105F93">
        <w:trPr>
          <w:cantSplit/>
          <w:tblHeader/>
        </w:trPr>
        <w:tc>
          <w:tcPr>
            <w:tcW w:w="9350" w:type="dxa"/>
          </w:tcPr>
          <w:p w14:paraId="109235C8" w14:textId="1F2D1F11" w:rsidR="004A39AB" w:rsidRDefault="001A6E81" w:rsidP="00105F93">
            <w:pPr>
              <w:spacing w:after="0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Rare side effects that are serious</w:t>
            </w:r>
          </w:p>
          <w:p w14:paraId="5426002A" w14:textId="71372062" w:rsidR="004A39AB" w:rsidRPr="004A39AB" w:rsidRDefault="004A39AB" w:rsidP="00105F93">
            <w:pPr>
              <w:spacing w:after="0"/>
              <w:jc w:val="center"/>
            </w:pPr>
            <w:r>
              <w:t xml:space="preserve">In 100 people receiving </w:t>
            </w:r>
            <w:r w:rsidR="0062428D" w:rsidRPr="0062428D">
              <w:t>VAC (Vincristine, Dactinomycin, Cyclophosphamide)</w:t>
            </w:r>
            <w:r w:rsidRPr="0062428D">
              <w:t>,</w:t>
            </w:r>
            <w:r>
              <w:t xml:space="preserve"> 3 or fewer may have:</w:t>
            </w:r>
          </w:p>
        </w:tc>
      </w:tr>
      <w:tr w:rsidR="0062428D" w14:paraId="6CEB00C4" w14:textId="77777777" w:rsidTr="00105F93">
        <w:tc>
          <w:tcPr>
            <w:tcW w:w="9350" w:type="dxa"/>
          </w:tcPr>
          <w:p w14:paraId="0DDB1042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Damage to the heart or heart failure which may cause shortness of breath, swelling of ankles, cough or tiredness</w:t>
            </w:r>
          </w:p>
          <w:p w14:paraId="280B5B9E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Seizure</w:t>
            </w:r>
          </w:p>
          <w:p w14:paraId="56C6733F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Coma</w:t>
            </w:r>
          </w:p>
          <w:p w14:paraId="1640103B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Damage to the lungs or scarring of the lungs which may cause shortness of breath</w:t>
            </w:r>
          </w:p>
          <w:p w14:paraId="32BB60D4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 xml:space="preserve">A new cancer </w:t>
            </w:r>
            <w:bookmarkStart w:id="3" w:name="_Hlk193808289"/>
            <w:r w:rsidRPr="0062428D">
              <w:t>including cancer of bone marrow (leukemia) caused by chemotherapy</w:t>
            </w:r>
            <w:bookmarkEnd w:id="3"/>
          </w:p>
          <w:p w14:paraId="597E8419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Kidney damage which may cause swelling, may require dialysis</w:t>
            </w:r>
          </w:p>
          <w:p w14:paraId="659EA02D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Allergic reaction which may cause rash, low blood pressure, wheezing, shortness of breath, or swelling of the face or throat</w:t>
            </w:r>
          </w:p>
          <w:p w14:paraId="1173CA2C" w14:textId="77777777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ind w:left="173" w:hanging="173"/>
            </w:pPr>
            <w:r w:rsidRPr="0062428D">
              <w:t>Fluid in the belly which may cause swelling</w:t>
            </w:r>
          </w:p>
          <w:p w14:paraId="67E8E6CC" w14:textId="221FBC13" w:rsidR="0062428D" w:rsidRPr="0062428D" w:rsidRDefault="0062428D" w:rsidP="0062428D">
            <w:pPr>
              <w:pStyle w:val="ListParagraph"/>
              <w:numPr>
                <w:ilvl w:val="0"/>
                <w:numId w:val="2"/>
              </w:numPr>
              <w:spacing w:after="0"/>
              <w:ind w:left="173" w:hanging="173"/>
            </w:pPr>
            <w:r w:rsidRPr="0062428D">
              <w:t>Visual loss with a chance of blindness</w:t>
            </w:r>
          </w:p>
        </w:tc>
      </w:tr>
      <w:bookmarkEnd w:id="2"/>
    </w:tbl>
    <w:p w14:paraId="33F31C52" w14:textId="77777777" w:rsidR="004A39AB" w:rsidRPr="0062428D" w:rsidRDefault="004A39AB" w:rsidP="0062428D">
      <w:pPr>
        <w:ind w:left="173" w:hanging="173"/>
      </w:pPr>
    </w:p>
    <w:sectPr w:rsidR="004A39AB" w:rsidRPr="0062428D" w:rsidSect="004A39AB">
      <w:headerReference w:type="default" r:id="rId7"/>
      <w:footerReference w:type="default" r:id="rId8"/>
      <w:footerReference w:type="first" r:id="rId9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265DEF" w14:textId="77777777" w:rsidR="00150EB0" w:rsidRDefault="00150EB0" w:rsidP="004A39AB">
      <w:pPr>
        <w:spacing w:after="0" w:line="240" w:lineRule="auto"/>
      </w:pPr>
      <w:r>
        <w:separator/>
      </w:r>
    </w:p>
  </w:endnote>
  <w:endnote w:type="continuationSeparator" w:id="0">
    <w:p w14:paraId="37C99E92" w14:textId="77777777" w:rsidR="00150EB0" w:rsidRDefault="00150EB0" w:rsidP="004A39A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304737035"/>
      <w:docPartObj>
        <w:docPartGallery w:val="Page Numbers (Bottom of Page)"/>
        <w:docPartUnique/>
      </w:docPartObj>
    </w:sdtPr>
    <w:sdtEndPr/>
    <w:sdtContent>
      <w:sdt>
        <w:sdtPr>
          <w:id w:val="1728636285"/>
          <w:docPartObj>
            <w:docPartGallery w:val="Page Numbers (Top of Page)"/>
            <w:docPartUnique/>
          </w:docPartObj>
        </w:sdtPr>
        <w:sdtEndPr/>
        <w:sdtContent>
          <w:p w14:paraId="1EED4D08" w14:textId="4DD04C43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29166347"/>
      <w:docPartObj>
        <w:docPartGallery w:val="Page Numbers (Bottom of Page)"/>
        <w:docPartUnique/>
      </w:docPartObj>
    </w:sdtPr>
    <w:sdtEndPr/>
    <w:sdtContent>
      <w:sdt>
        <w:sdtPr>
          <w:id w:val="2053028138"/>
          <w:docPartObj>
            <w:docPartGallery w:val="Page Numbers (Top of Page)"/>
            <w:docPartUnique/>
          </w:docPartObj>
        </w:sdtPr>
        <w:sdtEndPr/>
        <w:sdtContent>
          <w:p w14:paraId="75AC4970" w14:textId="54CA9E49" w:rsidR="009E45BF" w:rsidRDefault="009E45BF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Cs w:val="24"/>
              </w:rPr>
              <w:fldChar w:fldCharType="end"/>
            </w:r>
          </w:p>
        </w:sdtContent>
      </w:sdt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C324A5" w14:textId="77777777" w:rsidR="00150EB0" w:rsidRDefault="00150EB0" w:rsidP="004A39AB">
      <w:pPr>
        <w:spacing w:after="0" w:line="240" w:lineRule="auto"/>
      </w:pPr>
      <w:r>
        <w:separator/>
      </w:r>
    </w:p>
  </w:footnote>
  <w:footnote w:type="continuationSeparator" w:id="0">
    <w:p w14:paraId="64DCB579" w14:textId="77777777" w:rsidR="00150EB0" w:rsidRDefault="00150EB0" w:rsidP="004A39A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9350"/>
    </w:tblGrid>
    <w:tr w:rsidR="004A39AB" w:rsidRPr="004A39AB" w14:paraId="38A18D54" w14:textId="77777777" w:rsidTr="009E45BF">
      <w:trPr>
        <w:trHeight w:val="2551"/>
      </w:trPr>
      <w:tc>
        <w:tcPr>
          <w:tcW w:w="9350" w:type="dxa"/>
          <w:shd w:val="clear" w:color="auto" w:fill="FFFF00"/>
        </w:tcPr>
        <w:p w14:paraId="16080E0A" w14:textId="77777777" w:rsidR="004A39AB" w:rsidRPr="004A39AB" w:rsidRDefault="004A39AB" w:rsidP="009E45BF">
          <w:pPr>
            <w:jc w:val="center"/>
            <w:rPr>
              <w:b/>
              <w:bCs/>
            </w:rPr>
          </w:pPr>
          <w:r w:rsidRPr="004A39AB">
            <w:rPr>
              <w:b/>
              <w:bCs/>
            </w:rPr>
            <w:t>Please Note: This document is provided as a resource for research staff. This document is not approved by the NCI CIRB as a patient information sheet for use in conjunction with a clinical trial.</w:t>
          </w:r>
        </w:p>
        <w:p w14:paraId="4E0F5565" w14:textId="77777777" w:rsidR="004A39AB" w:rsidRPr="004A39AB" w:rsidRDefault="004A39AB" w:rsidP="009E45BF">
          <w:pPr>
            <w:jc w:val="center"/>
          </w:pPr>
          <w:r w:rsidRPr="004A39AB">
            <w:t>Before any materials can be used for patient education in conjunction with a clinical trial, they must be approved by the IRB of record.</w:t>
          </w:r>
        </w:p>
        <w:p w14:paraId="04688421" w14:textId="3D4BF3A2" w:rsidR="004A39AB" w:rsidRPr="004A39AB" w:rsidRDefault="004A39AB" w:rsidP="009E45BF">
          <w:pPr>
            <w:pStyle w:val="Header"/>
            <w:jc w:val="center"/>
            <w:rPr>
              <w:b/>
              <w:bCs/>
            </w:rPr>
          </w:pPr>
          <w:r w:rsidRPr="004A39AB">
            <w:t>US sites participating in CTEP-supported clinical trial networks can find protocol-specific NCI CIRB-approved patient educational materials on the protocol page on the CTSU website.</w:t>
          </w:r>
        </w:p>
      </w:tc>
    </w:tr>
  </w:tbl>
  <w:p w14:paraId="2305FDAE" w14:textId="04351B64" w:rsidR="004A39AB" w:rsidRDefault="004A39AB" w:rsidP="004A39A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5205B5E"/>
    <w:multiLevelType w:val="hybridMultilevel"/>
    <w:tmpl w:val="9210F6CE"/>
    <w:lvl w:ilvl="0" w:tplc="83F6072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1CF2B95"/>
    <w:multiLevelType w:val="hybridMultilevel"/>
    <w:tmpl w:val="80440E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1B7F18"/>
    <w:multiLevelType w:val="hybridMultilevel"/>
    <w:tmpl w:val="15363D16"/>
    <w:lvl w:ilvl="0" w:tplc="67DCDAF6">
      <w:start w:val="1"/>
      <w:numFmt w:val="bullet"/>
      <w:lvlText w:val=""/>
      <w:lvlJc w:val="left"/>
      <w:pPr>
        <w:ind w:left="1008" w:hanging="64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D130BE0"/>
    <w:multiLevelType w:val="hybridMultilevel"/>
    <w:tmpl w:val="E13C6730"/>
    <w:lvl w:ilvl="0" w:tplc="49280CBC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35894296">
    <w:abstractNumId w:val="0"/>
  </w:num>
  <w:num w:numId="2" w16cid:durableId="5136841">
    <w:abstractNumId w:val="3"/>
  </w:num>
  <w:num w:numId="3" w16cid:durableId="980424931">
    <w:abstractNumId w:val="2"/>
  </w:num>
  <w:num w:numId="4" w16cid:durableId="28600565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stylePaneFormatFilter w:val="5424" w:allStyles="0" w:customStyles="0" w:latentStyles="1" w:stylesInUse="0" w:headingStyles="1" w:numberingStyles="0" w:tableStyles="0" w:directFormattingOnRuns="0" w:directFormattingOnParagraphs="0" w:directFormattingOnNumbering="1" w:directFormattingOnTables="0" w:clearFormatting="1" w:top3HeadingStyles="0" w:visibleStyles="1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1F1D"/>
    <w:rsid w:val="000872F8"/>
    <w:rsid w:val="000D2292"/>
    <w:rsid w:val="001013BB"/>
    <w:rsid w:val="00102EE9"/>
    <w:rsid w:val="00130C28"/>
    <w:rsid w:val="00150EB0"/>
    <w:rsid w:val="00151F1D"/>
    <w:rsid w:val="001A6E81"/>
    <w:rsid w:val="002673C4"/>
    <w:rsid w:val="00331CEF"/>
    <w:rsid w:val="00333BB6"/>
    <w:rsid w:val="00481277"/>
    <w:rsid w:val="004A3302"/>
    <w:rsid w:val="004A39AB"/>
    <w:rsid w:val="0053331B"/>
    <w:rsid w:val="00546FA8"/>
    <w:rsid w:val="00552CC0"/>
    <w:rsid w:val="00563F23"/>
    <w:rsid w:val="0062428D"/>
    <w:rsid w:val="00682A23"/>
    <w:rsid w:val="00696939"/>
    <w:rsid w:val="006B1D6E"/>
    <w:rsid w:val="00713040"/>
    <w:rsid w:val="007C0608"/>
    <w:rsid w:val="00801FF5"/>
    <w:rsid w:val="00847E94"/>
    <w:rsid w:val="0087542D"/>
    <w:rsid w:val="00913D4D"/>
    <w:rsid w:val="00932A85"/>
    <w:rsid w:val="00936C68"/>
    <w:rsid w:val="009E45BF"/>
    <w:rsid w:val="00A05D5E"/>
    <w:rsid w:val="00AD6D62"/>
    <w:rsid w:val="00AF7F4B"/>
    <w:rsid w:val="00BE2F8C"/>
    <w:rsid w:val="00C81F1D"/>
    <w:rsid w:val="00C8476D"/>
    <w:rsid w:val="00CF48CE"/>
    <w:rsid w:val="00DA1004"/>
    <w:rsid w:val="00DD4F60"/>
    <w:rsid w:val="00E000C9"/>
    <w:rsid w:val="00E164C6"/>
    <w:rsid w:val="00E418CE"/>
    <w:rsid w:val="00E760F3"/>
    <w:rsid w:val="00EC09EC"/>
    <w:rsid w:val="00ED783D"/>
    <w:rsid w:val="00F50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BA73BA8"/>
  <w15:chartTrackingRefBased/>
  <w15:docId w15:val="{C1EAFB45-7C03-435A-A496-ECDF600D16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FF5"/>
    <w:pPr>
      <w:spacing w:after="240"/>
    </w:pPr>
    <w:rPr>
      <w:rFonts w:ascii="Calibri" w:hAnsi="Calibri"/>
      <w:sz w:val="24"/>
    </w:rPr>
  </w:style>
  <w:style w:type="paragraph" w:styleId="Heading1">
    <w:name w:val="heading 1"/>
    <w:basedOn w:val="Heading2"/>
    <w:next w:val="Normal"/>
    <w:link w:val="Heading1Char"/>
    <w:uiPriority w:val="9"/>
    <w:qFormat/>
    <w:rsid w:val="00481277"/>
    <w:pPr>
      <w:spacing w:line="240" w:lineRule="auto"/>
      <w:outlineLvl w:val="0"/>
    </w:pPr>
    <w:rPr>
      <w:rFonts w:eastAsia="Times New Roman"/>
      <w:szCs w:val="24"/>
      <w:lang w:val="x-none" w:eastAsia="x-none"/>
    </w:rPr>
  </w:style>
  <w:style w:type="paragraph" w:styleId="Heading2">
    <w:name w:val="heading 2"/>
    <w:aliases w:val="Header 2"/>
    <w:basedOn w:val="Normal"/>
    <w:next w:val="Normal"/>
    <w:link w:val="Heading2Char"/>
    <w:uiPriority w:val="9"/>
    <w:unhideWhenUsed/>
    <w:qFormat/>
    <w:rsid w:val="007C0608"/>
    <w:pPr>
      <w:keepNext/>
      <w:keepLines/>
      <w:outlineLvl w:val="1"/>
    </w:pPr>
    <w:rPr>
      <w:rFonts w:eastAsiaTheme="majorEastAsia" w:cstheme="majorBidi"/>
      <w:b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AD6D62"/>
    <w:pPr>
      <w:keepNext/>
      <w:keepLines/>
      <w:outlineLvl w:val="2"/>
    </w:pPr>
    <w:rPr>
      <w:rFonts w:eastAsiaTheme="majorEastAsia" w:cstheme="majorBidi"/>
      <w:b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51F1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51F1D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51F1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51F1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51F1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51F1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481277"/>
    <w:rPr>
      <w:rFonts w:ascii="Calibri" w:eastAsia="Times New Roman" w:hAnsi="Calibri" w:cstheme="majorBidi"/>
      <w:b/>
      <w:sz w:val="24"/>
      <w:szCs w:val="24"/>
      <w:lang w:val="x-none" w:eastAsia="x-none"/>
    </w:rPr>
  </w:style>
  <w:style w:type="character" w:customStyle="1" w:styleId="Heading2Char">
    <w:name w:val="Heading 2 Char"/>
    <w:aliases w:val="Header 2 Char"/>
    <w:basedOn w:val="DefaultParagraphFont"/>
    <w:link w:val="Heading2"/>
    <w:uiPriority w:val="9"/>
    <w:rsid w:val="00151F1D"/>
    <w:rPr>
      <w:rFonts w:ascii="Calibri" w:eastAsiaTheme="majorEastAsia" w:hAnsi="Calibri" w:cstheme="majorBidi"/>
      <w:b/>
      <w:sz w:val="24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AD6D62"/>
    <w:rPr>
      <w:rFonts w:ascii="Calibri" w:eastAsiaTheme="majorEastAsia" w:hAnsi="Calibri" w:cstheme="majorBidi"/>
      <w:b/>
      <w:sz w:val="24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51F1D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51F1D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51F1D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51F1D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51F1D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51F1D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51F1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51F1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51F1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51F1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51F1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51F1D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51F1D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51F1D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51F1D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51F1D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51F1D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151F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A39AB"/>
    <w:rPr>
      <w:rFonts w:ascii="Calibri" w:hAnsi="Calibri"/>
      <w:sz w:val="24"/>
    </w:rPr>
  </w:style>
  <w:style w:type="paragraph" w:styleId="Footer">
    <w:name w:val="footer"/>
    <w:basedOn w:val="Normal"/>
    <w:link w:val="FooterChar"/>
    <w:uiPriority w:val="99"/>
    <w:unhideWhenUsed/>
    <w:rsid w:val="004A39A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A39AB"/>
    <w:rPr>
      <w:rFonts w:ascii="Calibri" w:hAnsi="Calibri"/>
      <w:sz w:val="24"/>
    </w:rPr>
  </w:style>
  <w:style w:type="paragraph" w:styleId="Revision">
    <w:name w:val="Revision"/>
    <w:hidden/>
    <w:uiPriority w:val="99"/>
    <w:semiHidden/>
    <w:rsid w:val="001A6E81"/>
    <w:pPr>
      <w:spacing w:after="0" w:line="240" w:lineRule="auto"/>
    </w:pPr>
    <w:rPr>
      <w:rFonts w:ascii="Calibri" w:hAnsi="Calibri"/>
      <w:sz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1A6E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1A6E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1A6E81"/>
    <w:rPr>
      <w:rFonts w:ascii="Calibri" w:hAnsi="Calibri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A6E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A6E81"/>
    <w:rPr>
      <w:rFonts w:ascii="Calibri" w:hAnsi="Calibri"/>
      <w:b/>
      <w:bCs/>
      <w:sz w:val="20"/>
      <w:szCs w:val="20"/>
    </w:rPr>
  </w:style>
  <w:style w:type="character" w:styleId="Strong">
    <w:name w:val="Strong"/>
    <w:basedOn w:val="DefaultParagraphFont"/>
    <w:uiPriority w:val="22"/>
    <w:qFormat/>
    <w:rsid w:val="00CF48CE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530</Words>
  <Characters>3021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VAC (Vincristine, Dactinomycin, Cyclophosphamide) Side Effects</vt:lpstr>
    </vt:vector>
  </TitlesOfParts>
  <Company>National Cancer Institute</Company>
  <LinksUpToDate>false</LinksUpToDate>
  <CharactersWithSpaces>3544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VAC (Vincristine, Dactinomycin, Cyclophosphamide) Side Effects</dc:title>
  <dc:subject>Possible Side Effects of VAC (Vincristine, Dactinomycin, Cyclophosphamide)</dc:subject>
  <dc:creator>HHS/DCTD/CTEP</dc:creator>
  <cp:keywords>VAC, Vincristine, Dactinomycin, Cyclophosphamide, possible, side effects, commercial use, streamlined summary</cp:keywords>
  <dc:description/>
  <cp:lastModifiedBy>Williams, Christopher (NIH/NCI) [C]</cp:lastModifiedBy>
  <cp:revision>3</cp:revision>
  <dcterms:created xsi:type="dcterms:W3CDTF">2026-02-06T02:14:00Z</dcterms:created>
  <dcterms:modified xsi:type="dcterms:W3CDTF">2026-02-28T03:43:00Z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nguage">
    <vt:lpwstr>English</vt:lpwstr>
  </property>
</Properties>
</file>