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363280" w14:paraId="17E2A06D" w14:textId="77777777" w:rsidTr="008E6BCC">
        <w:tc>
          <w:tcPr>
            <w:tcW w:w="9350" w:type="dxa"/>
            <w:shd w:val="clear" w:color="auto" w:fill="FFFF00"/>
          </w:tcPr>
          <w:p w14:paraId="4448ECFD" w14:textId="77777777" w:rsidR="00363280" w:rsidRDefault="00363280" w:rsidP="008E6BCC">
            <w:pPr>
              <w:jc w:val="center"/>
              <w:rPr>
                <w:b/>
                <w:bCs/>
              </w:rPr>
            </w:pPr>
            <w:bookmarkStart w:id="0" w:name="_Hlk216182949"/>
            <w:bookmarkStart w:id="1" w:name="_Hlk220085405"/>
            <w:r>
              <w:rPr>
                <w:b/>
                <w:bCs/>
              </w:rPr>
              <w:t>Please Note: These side effect tables for commercial agents are provided as a resource for research staff. This document is not approved by the NCI CIRB as a patient information sheet for use in conjunction with a clinical trial.</w:t>
            </w:r>
          </w:p>
          <w:p w14:paraId="3CB8855F" w14:textId="77777777" w:rsidR="00363280" w:rsidRDefault="00363280" w:rsidP="008E6BCC">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0DE150BA" w14:textId="77777777" w:rsidR="00363280" w:rsidRPr="00151F1D" w:rsidRDefault="00363280" w:rsidP="008E6BCC">
            <w:pPr>
              <w:jc w:val="center"/>
            </w:pPr>
            <w:r>
              <w:t>US sites participating in CTEP-supported clinical trial networks can find protocol-specific NCI CIRB-approved patient educational materials on the protocol page on the CTSU website.</w:t>
            </w:r>
          </w:p>
        </w:tc>
      </w:tr>
    </w:tbl>
    <w:p w14:paraId="6C31398E" w14:textId="77777777" w:rsidR="00363280" w:rsidRDefault="00363280" w:rsidP="00363280"/>
    <w:p w14:paraId="3779F320" w14:textId="39C08466" w:rsidR="00363280" w:rsidRPr="00E6046E" w:rsidRDefault="00363280" w:rsidP="00363280">
      <w:pPr>
        <w:pStyle w:val="Heading1"/>
        <w:rPr>
          <w:b w:val="0"/>
        </w:rPr>
      </w:pPr>
      <w:r w:rsidRPr="00E6046E">
        <w:t xml:space="preserve">Possible Side Effects of </w:t>
      </w:r>
      <w:r w:rsidRPr="00A60591">
        <w:rPr>
          <w:rFonts w:cs="Calibri"/>
        </w:rPr>
        <w:t>Pertuzumab, Trastuzumab, Docetaxel</w:t>
      </w:r>
      <w:r w:rsidRPr="00E6046E">
        <w:t xml:space="preserve"> (Table Version Date: </w:t>
      </w:r>
      <w:r>
        <w:t>December 1, 2025</w:t>
      </w:r>
      <w:r w:rsidRPr="00E6046E">
        <w:t>)</w:t>
      </w:r>
    </w:p>
    <w:bookmarkEnd w:id="0"/>
    <w:p w14:paraId="5C70D3E3" w14:textId="77777777" w:rsidR="00363280" w:rsidRPr="00E6046E" w:rsidRDefault="00363280" w:rsidP="00363280">
      <w:r w:rsidRPr="00E6046E">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rsidRPr="00A60591" w14:paraId="7CF079C5" w14:textId="77777777" w:rsidTr="004A39AB">
        <w:trPr>
          <w:cantSplit/>
          <w:tblHeader/>
        </w:trPr>
        <w:tc>
          <w:tcPr>
            <w:tcW w:w="9350" w:type="dxa"/>
          </w:tcPr>
          <w:p w14:paraId="39EC781E" w14:textId="6038AA02" w:rsidR="004A39AB" w:rsidRPr="00A60591" w:rsidRDefault="001A6E81" w:rsidP="004A39AB">
            <w:pPr>
              <w:spacing w:after="0"/>
              <w:jc w:val="center"/>
              <w:rPr>
                <w:rStyle w:val="Strong"/>
                <w:rFonts w:cs="Calibri"/>
              </w:rPr>
            </w:pPr>
            <w:bookmarkStart w:id="2" w:name="_Hlk195280665"/>
            <w:bookmarkEnd w:id="1"/>
            <w:r w:rsidRPr="00A60591">
              <w:rPr>
                <w:rStyle w:val="Strong"/>
                <w:rFonts w:cs="Calibri"/>
              </w:rPr>
              <w:t>Common side effects</w:t>
            </w:r>
            <w:r w:rsidR="00847E94" w:rsidRPr="00A60591">
              <w:rPr>
                <w:rStyle w:val="Strong"/>
                <w:rFonts w:cs="Calibri"/>
              </w:rPr>
              <w:t xml:space="preserve"> (some may be serious)</w:t>
            </w:r>
          </w:p>
          <w:p w14:paraId="085D436E" w14:textId="39C92AF6" w:rsidR="004A39AB" w:rsidRPr="00A60591" w:rsidRDefault="004A39AB" w:rsidP="004A39AB">
            <w:pPr>
              <w:spacing w:after="0"/>
              <w:jc w:val="center"/>
              <w:rPr>
                <w:rFonts w:cs="Calibri"/>
              </w:rPr>
            </w:pPr>
            <w:r w:rsidRPr="00A60591">
              <w:rPr>
                <w:rFonts w:cs="Calibri"/>
              </w:rPr>
              <w:t xml:space="preserve">In 100 people receiving </w:t>
            </w:r>
            <w:r w:rsidR="006B3B8A" w:rsidRPr="00A60591">
              <w:rPr>
                <w:rFonts w:cs="Calibri"/>
              </w:rPr>
              <w:t>Pertuzumab, Trastuzumab, Docetaxel</w:t>
            </w:r>
            <w:r w:rsidRPr="00A60591">
              <w:rPr>
                <w:rFonts w:cs="Calibri"/>
              </w:rPr>
              <w:t>, more than 20 and up to 100 may have:</w:t>
            </w:r>
          </w:p>
        </w:tc>
      </w:tr>
      <w:tr w:rsidR="004A39AB" w:rsidRPr="00A60591" w14:paraId="3302E35E" w14:textId="77777777" w:rsidTr="004A39AB">
        <w:tc>
          <w:tcPr>
            <w:tcW w:w="9350" w:type="dxa"/>
          </w:tcPr>
          <w:p w14:paraId="1765154A" w14:textId="69B5E250" w:rsidR="006B3B8A" w:rsidRPr="00363280" w:rsidRDefault="006B3B8A" w:rsidP="00363280">
            <w:pPr>
              <w:pStyle w:val="ListParagraph"/>
              <w:numPr>
                <w:ilvl w:val="0"/>
                <w:numId w:val="2"/>
              </w:numPr>
              <w:ind w:left="173" w:hanging="173"/>
            </w:pPr>
            <w:r w:rsidRPr="00A60591">
              <w:t>Shortness of breath, cough</w:t>
            </w:r>
          </w:p>
          <w:p w14:paraId="1BEE85F6" w14:textId="6A57AC9B" w:rsidR="006B3B8A" w:rsidRPr="00363280" w:rsidRDefault="006B3B8A" w:rsidP="00363280">
            <w:pPr>
              <w:pStyle w:val="ListParagraph"/>
              <w:numPr>
                <w:ilvl w:val="0"/>
                <w:numId w:val="2"/>
              </w:numPr>
              <w:ind w:left="173" w:hanging="173"/>
            </w:pPr>
            <w:r w:rsidRPr="00A60591">
              <w:t>Anemia which may cause tiredness, or may require blood transfusions</w:t>
            </w:r>
          </w:p>
          <w:p w14:paraId="2895EC2F" w14:textId="15C2C1CB" w:rsidR="006B3B8A" w:rsidRPr="00363280" w:rsidRDefault="006B3B8A" w:rsidP="00363280">
            <w:pPr>
              <w:pStyle w:val="ListParagraph"/>
              <w:numPr>
                <w:ilvl w:val="0"/>
                <w:numId w:val="2"/>
              </w:numPr>
              <w:ind w:left="173" w:hanging="173"/>
            </w:pPr>
            <w:r w:rsidRPr="00A60591">
              <w:t xml:space="preserve">Infection, </w:t>
            </w:r>
            <w:r w:rsidR="00A60591">
              <w:t xml:space="preserve">possibly in the blood, </w:t>
            </w:r>
            <w:r w:rsidRPr="00A60591">
              <w:t>especially when white blood cell count is low</w:t>
            </w:r>
          </w:p>
          <w:p w14:paraId="1A929B4C" w14:textId="6FAADDC2" w:rsidR="006B3B8A" w:rsidRPr="00363280" w:rsidRDefault="006B3B8A" w:rsidP="00363280">
            <w:pPr>
              <w:pStyle w:val="ListParagraph"/>
              <w:numPr>
                <w:ilvl w:val="0"/>
                <w:numId w:val="2"/>
              </w:numPr>
              <w:ind w:left="173" w:hanging="173"/>
            </w:pPr>
            <w:r w:rsidRPr="00A60591">
              <w:t>Swelling of body, arms, legs</w:t>
            </w:r>
          </w:p>
          <w:p w14:paraId="055C6C62" w14:textId="32FE90F4" w:rsidR="006B3B8A" w:rsidRPr="00363280" w:rsidRDefault="006B3B8A" w:rsidP="00363280">
            <w:pPr>
              <w:pStyle w:val="ListParagraph"/>
              <w:numPr>
                <w:ilvl w:val="0"/>
                <w:numId w:val="2"/>
              </w:numPr>
              <w:ind w:left="173" w:hanging="173"/>
            </w:pPr>
            <w:r w:rsidRPr="00A60591">
              <w:t xml:space="preserve">Nausea, vomiting, diarrhea, belly pain, loss of appetite, weight loss </w:t>
            </w:r>
          </w:p>
          <w:p w14:paraId="45B6A0CD" w14:textId="376B6718" w:rsidR="006B3B8A" w:rsidRPr="00363280" w:rsidRDefault="006B3B8A" w:rsidP="00363280">
            <w:pPr>
              <w:pStyle w:val="ListParagraph"/>
              <w:numPr>
                <w:ilvl w:val="0"/>
                <w:numId w:val="2"/>
              </w:numPr>
              <w:ind w:left="173" w:hanging="173"/>
            </w:pPr>
            <w:r w:rsidRPr="00A60591">
              <w:t>Sores in mouth which may cause difficulty swallowing</w:t>
            </w:r>
          </w:p>
          <w:p w14:paraId="0A43B0F7" w14:textId="6723A610" w:rsidR="006B3B8A" w:rsidRPr="00363280" w:rsidRDefault="006B3B8A" w:rsidP="00363280">
            <w:pPr>
              <w:pStyle w:val="ListParagraph"/>
              <w:numPr>
                <w:ilvl w:val="0"/>
                <w:numId w:val="2"/>
              </w:numPr>
              <w:ind w:left="173" w:hanging="173"/>
            </w:pPr>
            <w:r w:rsidRPr="00A60591">
              <w:t xml:space="preserve">Allergic reaction or infusion </w:t>
            </w:r>
            <w:r w:rsidR="00EE742A">
              <w:t xml:space="preserve">reaction </w:t>
            </w:r>
            <w:r w:rsidRPr="00A60591">
              <w:t>which may cause chills, rash, low blood pressure, wheezing, shortness of breath, swelling of the face or throat</w:t>
            </w:r>
          </w:p>
          <w:p w14:paraId="385D2BA8" w14:textId="7095AA51" w:rsidR="006B3B8A" w:rsidRPr="00363280" w:rsidRDefault="006B3B8A" w:rsidP="00363280">
            <w:pPr>
              <w:pStyle w:val="ListParagraph"/>
              <w:numPr>
                <w:ilvl w:val="0"/>
                <w:numId w:val="2"/>
              </w:numPr>
              <w:ind w:left="173" w:hanging="173"/>
            </w:pPr>
            <w:r w:rsidRPr="00A60591">
              <w:t>Confusion</w:t>
            </w:r>
            <w:r w:rsidR="00A60591" w:rsidRPr="00A60591">
              <w:t xml:space="preserve">, </w:t>
            </w:r>
            <w:r w:rsidR="00A60591">
              <w:t>t</w:t>
            </w:r>
            <w:r w:rsidRPr="00A60591">
              <w:t xml:space="preserve">iredness, headache </w:t>
            </w:r>
          </w:p>
          <w:p w14:paraId="69609383" w14:textId="676D9011" w:rsidR="006B3B8A" w:rsidRPr="00363280" w:rsidRDefault="006B3B8A" w:rsidP="00363280">
            <w:pPr>
              <w:pStyle w:val="ListParagraph"/>
              <w:numPr>
                <w:ilvl w:val="0"/>
                <w:numId w:val="2"/>
              </w:numPr>
              <w:ind w:left="173" w:hanging="173"/>
            </w:pPr>
            <w:r w:rsidRPr="00A60591">
              <w:t>Numbness and tingling of the arms, legs, fingers, and/or toes</w:t>
            </w:r>
          </w:p>
          <w:p w14:paraId="3907ED5F" w14:textId="42C3363E" w:rsidR="006B3B8A" w:rsidRPr="00363280" w:rsidRDefault="006B3B8A" w:rsidP="00363280">
            <w:pPr>
              <w:pStyle w:val="ListParagraph"/>
              <w:numPr>
                <w:ilvl w:val="0"/>
                <w:numId w:val="2"/>
              </w:numPr>
              <w:ind w:left="173" w:hanging="173"/>
            </w:pPr>
            <w:r w:rsidRPr="00A60591">
              <w:t>Fever, chills</w:t>
            </w:r>
          </w:p>
          <w:p w14:paraId="696AEF47" w14:textId="31010C4D" w:rsidR="006B3B8A" w:rsidRPr="00363280" w:rsidRDefault="006B3B8A" w:rsidP="00363280">
            <w:pPr>
              <w:pStyle w:val="ListParagraph"/>
              <w:numPr>
                <w:ilvl w:val="0"/>
                <w:numId w:val="2"/>
              </w:numPr>
              <w:ind w:left="173" w:hanging="173"/>
            </w:pPr>
            <w:r w:rsidRPr="00A60591">
              <w:t>Muscle weakness</w:t>
            </w:r>
            <w:r w:rsidR="00A60591" w:rsidRPr="00A60591">
              <w:t xml:space="preserve">, </w:t>
            </w:r>
            <w:r w:rsidR="00A60591">
              <w:t>p</w:t>
            </w:r>
            <w:r w:rsidRPr="00A60591">
              <w:t>ain</w:t>
            </w:r>
          </w:p>
          <w:p w14:paraId="466A555B" w14:textId="072BAB6E" w:rsidR="006B3B8A" w:rsidRPr="00363280" w:rsidRDefault="006B3B8A" w:rsidP="00363280">
            <w:pPr>
              <w:pStyle w:val="ListParagraph"/>
              <w:numPr>
                <w:ilvl w:val="0"/>
                <w:numId w:val="2"/>
              </w:numPr>
              <w:ind w:left="173" w:hanging="173"/>
            </w:pPr>
            <w:r w:rsidRPr="00A60591">
              <w:t>Watering eyes</w:t>
            </w:r>
          </w:p>
          <w:p w14:paraId="78594EC2" w14:textId="189D5786" w:rsidR="006B3B8A" w:rsidRPr="00363280" w:rsidRDefault="006B3B8A" w:rsidP="00363280">
            <w:pPr>
              <w:pStyle w:val="ListParagraph"/>
              <w:numPr>
                <w:ilvl w:val="0"/>
                <w:numId w:val="2"/>
              </w:numPr>
              <w:ind w:left="173" w:hanging="173"/>
            </w:pPr>
            <w:r w:rsidRPr="00A60591">
              <w:t>Rash, itching, change in nails</w:t>
            </w:r>
          </w:p>
          <w:p w14:paraId="307C7E37" w14:textId="3C4146BE" w:rsidR="00801FF5" w:rsidRPr="00363280" w:rsidRDefault="006B3B8A" w:rsidP="00363280">
            <w:pPr>
              <w:pStyle w:val="ListParagraph"/>
              <w:numPr>
                <w:ilvl w:val="0"/>
                <w:numId w:val="2"/>
              </w:numPr>
              <w:spacing w:after="0"/>
              <w:ind w:left="173" w:hanging="173"/>
            </w:pPr>
            <w:r w:rsidRPr="00A60591">
              <w:t>Hair loss</w:t>
            </w:r>
          </w:p>
        </w:tc>
      </w:tr>
    </w:tbl>
    <w:p w14:paraId="2FC3904F" w14:textId="77777777" w:rsidR="004A39AB" w:rsidRPr="00363280" w:rsidRDefault="004A39AB" w:rsidP="00363280">
      <w:pPr>
        <w:spacing w:after="0"/>
        <w:ind w:left="173" w:hanging="173"/>
        <w:rPr>
          <w:rFonts w:cs="Calibri"/>
          <w:szCs w:val="24"/>
        </w:rPr>
      </w:pPr>
    </w:p>
    <w:tbl>
      <w:tblPr>
        <w:tblStyle w:val="TableGrid"/>
        <w:tblW w:w="0" w:type="auto"/>
        <w:tblLook w:val="04A0" w:firstRow="1" w:lastRow="0" w:firstColumn="1" w:lastColumn="0" w:noHBand="0" w:noVBand="1"/>
      </w:tblPr>
      <w:tblGrid>
        <w:gridCol w:w="9350"/>
      </w:tblGrid>
      <w:tr w:rsidR="004A39AB" w:rsidRPr="00A60591" w14:paraId="6D2F73F4" w14:textId="77777777" w:rsidTr="004A39AB">
        <w:trPr>
          <w:cantSplit/>
          <w:tblHeader/>
        </w:trPr>
        <w:tc>
          <w:tcPr>
            <w:tcW w:w="9350" w:type="dxa"/>
          </w:tcPr>
          <w:p w14:paraId="0558D5C4" w14:textId="78DF076F" w:rsidR="004A39AB" w:rsidRPr="00A60591" w:rsidRDefault="001A6E81" w:rsidP="006B3B8A">
            <w:pPr>
              <w:spacing w:after="0"/>
              <w:ind w:left="173" w:hanging="173"/>
              <w:jc w:val="center"/>
              <w:rPr>
                <w:rFonts w:cs="Calibri"/>
                <w:b/>
                <w:bCs/>
                <w:szCs w:val="24"/>
              </w:rPr>
            </w:pPr>
            <w:r w:rsidRPr="00A60591">
              <w:rPr>
                <w:rFonts w:cs="Calibri"/>
                <w:b/>
                <w:bCs/>
                <w:szCs w:val="24"/>
              </w:rPr>
              <w:t>Occasional side effects</w:t>
            </w:r>
            <w:r w:rsidR="00847E94" w:rsidRPr="00A60591">
              <w:rPr>
                <w:rFonts w:cs="Calibri"/>
                <w:b/>
                <w:bCs/>
                <w:szCs w:val="24"/>
              </w:rPr>
              <w:t xml:space="preserve"> (some may be serious)</w:t>
            </w:r>
          </w:p>
          <w:p w14:paraId="3C0D818B" w14:textId="02E7B880" w:rsidR="004A39AB" w:rsidRPr="00A60591" w:rsidRDefault="004A39AB" w:rsidP="006B3B8A">
            <w:pPr>
              <w:spacing w:after="0"/>
              <w:ind w:left="173" w:hanging="173"/>
              <w:jc w:val="center"/>
              <w:rPr>
                <w:rFonts w:cs="Calibri"/>
                <w:szCs w:val="24"/>
              </w:rPr>
            </w:pPr>
            <w:r w:rsidRPr="00A60591">
              <w:rPr>
                <w:rFonts w:cs="Calibri"/>
                <w:szCs w:val="24"/>
              </w:rPr>
              <w:t>In 100 people receiving</w:t>
            </w:r>
            <w:r w:rsidR="006B3B8A" w:rsidRPr="00A60591">
              <w:rPr>
                <w:rFonts w:cs="Calibri"/>
                <w:szCs w:val="24"/>
              </w:rPr>
              <w:t xml:space="preserve"> Pertuzumab, Trastuzumab, Docetaxel</w:t>
            </w:r>
            <w:r w:rsidRPr="00A60591">
              <w:rPr>
                <w:rFonts w:cs="Calibri"/>
                <w:szCs w:val="24"/>
              </w:rPr>
              <w:t>, from 4 to 20 may have:</w:t>
            </w:r>
          </w:p>
        </w:tc>
      </w:tr>
      <w:tr w:rsidR="004A39AB" w:rsidRPr="00A60591" w14:paraId="676063A8" w14:textId="77777777" w:rsidTr="00105F93">
        <w:tc>
          <w:tcPr>
            <w:tcW w:w="9350" w:type="dxa"/>
          </w:tcPr>
          <w:p w14:paraId="4DE5169F" w14:textId="55700E46" w:rsidR="006B3B8A" w:rsidRPr="00363280" w:rsidRDefault="006B3B8A" w:rsidP="00363280">
            <w:pPr>
              <w:pStyle w:val="ListParagraph"/>
              <w:numPr>
                <w:ilvl w:val="0"/>
                <w:numId w:val="2"/>
              </w:numPr>
              <w:ind w:left="173" w:hanging="173"/>
            </w:pPr>
            <w:r w:rsidRPr="00A60591">
              <w:t>Damage to the heart or heart failure which may cause shortness of breath, swelling of ankles, and tiredness</w:t>
            </w:r>
          </w:p>
          <w:p w14:paraId="68A1B93C" w14:textId="46E083F9" w:rsidR="006B3B8A" w:rsidRPr="00363280" w:rsidRDefault="006B3B8A" w:rsidP="00363280">
            <w:pPr>
              <w:pStyle w:val="ListParagraph"/>
              <w:numPr>
                <w:ilvl w:val="0"/>
                <w:numId w:val="2"/>
              </w:numPr>
              <w:ind w:left="173" w:hanging="173"/>
            </w:pPr>
            <w:r w:rsidRPr="00A60591">
              <w:t>High blood pressure which may cause headaches, dizziness, blurred vision</w:t>
            </w:r>
          </w:p>
          <w:p w14:paraId="1F4C2D15" w14:textId="11889DEC" w:rsidR="006B3B8A" w:rsidRPr="00363280" w:rsidRDefault="006B3B8A" w:rsidP="00363280">
            <w:pPr>
              <w:pStyle w:val="ListParagraph"/>
              <w:numPr>
                <w:ilvl w:val="0"/>
                <w:numId w:val="2"/>
              </w:numPr>
              <w:ind w:left="173" w:hanging="173"/>
            </w:pPr>
            <w:r w:rsidRPr="00A60591">
              <w:lastRenderedPageBreak/>
              <w:t>Low blood pressure or abnormal heartbeat which may cause fainting</w:t>
            </w:r>
          </w:p>
          <w:p w14:paraId="486A42E3" w14:textId="65032FD5" w:rsidR="006B3B8A" w:rsidRPr="00363280" w:rsidRDefault="006B3B8A" w:rsidP="00363280">
            <w:pPr>
              <w:pStyle w:val="ListParagraph"/>
              <w:numPr>
                <w:ilvl w:val="0"/>
                <w:numId w:val="2"/>
              </w:numPr>
              <w:ind w:left="173" w:hanging="173"/>
            </w:pPr>
            <w:r w:rsidRPr="00A60591">
              <w:t>Swelling and redness of the throat and sinuses (might not be caused by infection) which may cause difficulty breathing and swallowing</w:t>
            </w:r>
          </w:p>
          <w:p w14:paraId="2F94EA83" w14:textId="5EEE32C8" w:rsidR="006B3B8A" w:rsidRPr="00363280" w:rsidRDefault="006B3B8A" w:rsidP="00363280">
            <w:pPr>
              <w:pStyle w:val="ListParagraph"/>
              <w:numPr>
                <w:ilvl w:val="0"/>
                <w:numId w:val="2"/>
              </w:numPr>
              <w:ind w:left="173" w:hanging="173"/>
            </w:pPr>
            <w:r w:rsidRPr="00A60591">
              <w:t>Cold symptoms such as stuffy nose, sneezing, sore throat</w:t>
            </w:r>
          </w:p>
          <w:p w14:paraId="2A6C7B8C" w14:textId="7E72AB90" w:rsidR="006B3B8A" w:rsidRPr="00363280" w:rsidRDefault="006B3B8A" w:rsidP="00363280">
            <w:pPr>
              <w:pStyle w:val="ListParagraph"/>
              <w:numPr>
                <w:ilvl w:val="0"/>
                <w:numId w:val="2"/>
              </w:numPr>
              <w:ind w:left="173" w:hanging="173"/>
            </w:pPr>
            <w:r w:rsidRPr="00A60591">
              <w:t>Bruising, bleeding</w:t>
            </w:r>
          </w:p>
          <w:p w14:paraId="1ECC8666" w14:textId="102CB3BE" w:rsidR="006B3B8A" w:rsidRPr="00363280" w:rsidRDefault="006B3B8A" w:rsidP="00363280">
            <w:pPr>
              <w:pStyle w:val="ListParagraph"/>
              <w:numPr>
                <w:ilvl w:val="0"/>
                <w:numId w:val="2"/>
              </w:numPr>
              <w:ind w:left="173" w:hanging="173"/>
            </w:pPr>
            <w:r w:rsidRPr="00A60591">
              <w:t>Liver damage, which may cause yellowing of eyes and skin, swelling</w:t>
            </w:r>
          </w:p>
          <w:p w14:paraId="274CB70C" w14:textId="1DF84064" w:rsidR="006B3B8A" w:rsidRPr="00363280" w:rsidRDefault="006B3B8A" w:rsidP="00363280">
            <w:pPr>
              <w:pStyle w:val="ListParagraph"/>
              <w:numPr>
                <w:ilvl w:val="0"/>
                <w:numId w:val="2"/>
              </w:numPr>
              <w:ind w:left="173" w:hanging="173"/>
            </w:pPr>
            <w:r w:rsidRPr="00A60591">
              <w:t>A tear or hole in the bowels which may cause pain or that may require surgery</w:t>
            </w:r>
          </w:p>
          <w:p w14:paraId="4516FF7B" w14:textId="57CAF0ED" w:rsidR="006B3B8A" w:rsidRPr="00363280" w:rsidRDefault="006B3B8A" w:rsidP="00363280">
            <w:pPr>
              <w:pStyle w:val="ListParagraph"/>
              <w:numPr>
                <w:ilvl w:val="0"/>
                <w:numId w:val="2"/>
              </w:numPr>
              <w:ind w:left="173" w:hanging="173"/>
            </w:pPr>
            <w:r w:rsidRPr="00A60591">
              <w:t xml:space="preserve">Internal bleeding which may cause belly pain, black tarry stool, blood in </w:t>
            </w:r>
            <w:proofErr w:type="gramStart"/>
            <w:r w:rsidRPr="00A60591">
              <w:t>vomit</w:t>
            </w:r>
            <w:proofErr w:type="gramEnd"/>
          </w:p>
          <w:p w14:paraId="1E53ED66" w14:textId="218AD75F" w:rsidR="006B3B8A" w:rsidRPr="00363280" w:rsidRDefault="006B3B8A" w:rsidP="00363280">
            <w:pPr>
              <w:pStyle w:val="ListParagraph"/>
              <w:numPr>
                <w:ilvl w:val="0"/>
                <w:numId w:val="2"/>
              </w:numPr>
              <w:ind w:left="173" w:hanging="173"/>
            </w:pPr>
            <w:r w:rsidRPr="00A60591">
              <w:t>Constipation, changes in taste</w:t>
            </w:r>
          </w:p>
          <w:p w14:paraId="14C7221F" w14:textId="22CAF897" w:rsidR="006B3B8A" w:rsidRPr="00363280" w:rsidRDefault="006B3B8A" w:rsidP="00363280">
            <w:pPr>
              <w:pStyle w:val="ListParagraph"/>
              <w:numPr>
                <w:ilvl w:val="0"/>
                <w:numId w:val="2"/>
              </w:numPr>
              <w:ind w:left="173" w:hanging="173"/>
            </w:pPr>
            <w:r w:rsidRPr="00A60591">
              <w:t>Dizziness, depression, difficulty sleeping</w:t>
            </w:r>
          </w:p>
          <w:p w14:paraId="3674BE5A" w14:textId="5FAF8129" w:rsidR="006B3B8A" w:rsidRPr="00363280" w:rsidRDefault="006B3B8A" w:rsidP="00363280">
            <w:pPr>
              <w:pStyle w:val="ListParagraph"/>
              <w:numPr>
                <w:ilvl w:val="0"/>
                <w:numId w:val="2"/>
              </w:numPr>
              <w:ind w:left="173" w:hanging="173"/>
            </w:pPr>
            <w:r w:rsidRPr="00A60591">
              <w:t>Muscle spasms, twitching, swelling</w:t>
            </w:r>
          </w:p>
          <w:p w14:paraId="37B75A4A" w14:textId="6AFAE699" w:rsidR="006B3B8A" w:rsidRPr="00363280" w:rsidRDefault="006B3B8A" w:rsidP="00363280">
            <w:pPr>
              <w:pStyle w:val="ListParagraph"/>
              <w:numPr>
                <w:ilvl w:val="0"/>
                <w:numId w:val="2"/>
              </w:numPr>
              <w:ind w:left="173" w:hanging="173"/>
            </w:pPr>
            <w:r w:rsidRPr="00A60591">
              <w:t>Dry skin</w:t>
            </w:r>
          </w:p>
          <w:p w14:paraId="50805C43" w14:textId="366D5A38" w:rsidR="004A39AB" w:rsidRPr="00363280" w:rsidRDefault="006B3B8A" w:rsidP="00363280">
            <w:pPr>
              <w:pStyle w:val="ListParagraph"/>
              <w:numPr>
                <w:ilvl w:val="0"/>
                <w:numId w:val="2"/>
              </w:numPr>
              <w:spacing w:after="0"/>
              <w:ind w:left="173" w:hanging="173"/>
            </w:pPr>
            <w:r w:rsidRPr="00A60591">
              <w:t>Swollen or broken skin around the nail which may cause redness or infection</w:t>
            </w:r>
          </w:p>
        </w:tc>
      </w:tr>
    </w:tbl>
    <w:p w14:paraId="608C5003" w14:textId="77777777" w:rsidR="004A39AB" w:rsidRPr="00363280" w:rsidRDefault="004A39AB" w:rsidP="00363280">
      <w:pPr>
        <w:spacing w:after="0"/>
        <w:ind w:left="173" w:hanging="173"/>
        <w:rPr>
          <w:rFonts w:cs="Calibri"/>
          <w:szCs w:val="24"/>
        </w:rPr>
      </w:pPr>
    </w:p>
    <w:tbl>
      <w:tblPr>
        <w:tblStyle w:val="TableGrid"/>
        <w:tblW w:w="0" w:type="auto"/>
        <w:tblLook w:val="04A0" w:firstRow="1" w:lastRow="0" w:firstColumn="1" w:lastColumn="0" w:noHBand="0" w:noVBand="1"/>
      </w:tblPr>
      <w:tblGrid>
        <w:gridCol w:w="9350"/>
      </w:tblGrid>
      <w:tr w:rsidR="004A39AB" w:rsidRPr="00A60591" w14:paraId="50E1222D" w14:textId="77777777" w:rsidTr="00105F93">
        <w:trPr>
          <w:cantSplit/>
          <w:tblHeader/>
        </w:trPr>
        <w:tc>
          <w:tcPr>
            <w:tcW w:w="9350" w:type="dxa"/>
          </w:tcPr>
          <w:p w14:paraId="109235C8" w14:textId="1F2D1F11" w:rsidR="004A39AB" w:rsidRPr="00A60591" w:rsidRDefault="001A6E81" w:rsidP="006B3B8A">
            <w:pPr>
              <w:spacing w:after="0"/>
              <w:ind w:left="173" w:hanging="173"/>
              <w:jc w:val="center"/>
              <w:rPr>
                <w:rFonts w:cs="Calibri"/>
                <w:b/>
                <w:bCs/>
                <w:szCs w:val="24"/>
              </w:rPr>
            </w:pPr>
            <w:r w:rsidRPr="00A60591">
              <w:rPr>
                <w:rFonts w:cs="Calibri"/>
                <w:b/>
                <w:bCs/>
                <w:szCs w:val="24"/>
              </w:rPr>
              <w:t>Rare side effects that are serious</w:t>
            </w:r>
          </w:p>
          <w:p w14:paraId="5426002A" w14:textId="0C4CB8E3" w:rsidR="004A39AB" w:rsidRPr="00A60591" w:rsidRDefault="004A39AB" w:rsidP="006B3B8A">
            <w:pPr>
              <w:spacing w:after="0"/>
              <w:ind w:left="173" w:hanging="173"/>
              <w:jc w:val="center"/>
              <w:rPr>
                <w:rFonts w:cs="Calibri"/>
                <w:szCs w:val="24"/>
              </w:rPr>
            </w:pPr>
            <w:r w:rsidRPr="00A60591">
              <w:rPr>
                <w:rFonts w:cs="Calibri"/>
                <w:szCs w:val="24"/>
              </w:rPr>
              <w:t>In 100 people receiving</w:t>
            </w:r>
            <w:r w:rsidR="006B3B8A" w:rsidRPr="00A60591">
              <w:rPr>
                <w:rFonts w:cs="Calibri"/>
                <w:szCs w:val="24"/>
              </w:rPr>
              <w:t xml:space="preserve"> Pertuzumab, Trastuzumab, Docetaxel</w:t>
            </w:r>
            <w:r w:rsidRPr="00A60591">
              <w:rPr>
                <w:rFonts w:cs="Calibri"/>
                <w:szCs w:val="24"/>
              </w:rPr>
              <w:t>, 3 or fewer may have:</w:t>
            </w:r>
          </w:p>
        </w:tc>
      </w:tr>
      <w:tr w:rsidR="004A39AB" w:rsidRPr="00A60591" w14:paraId="6CEB00C4" w14:textId="77777777" w:rsidTr="00105F93">
        <w:tc>
          <w:tcPr>
            <w:tcW w:w="9350" w:type="dxa"/>
          </w:tcPr>
          <w:p w14:paraId="5B8515F5" w14:textId="1C2AD9B5" w:rsidR="006B3B8A" w:rsidRPr="00363280" w:rsidRDefault="006B3B8A" w:rsidP="00363280">
            <w:pPr>
              <w:pStyle w:val="ListParagraph"/>
              <w:numPr>
                <w:ilvl w:val="0"/>
                <w:numId w:val="2"/>
              </w:numPr>
              <w:ind w:left="173" w:hanging="173"/>
            </w:pPr>
            <w:r w:rsidRPr="00A60591">
              <w:t>A new cancer (including leukemia) resulting from treatment</w:t>
            </w:r>
          </w:p>
          <w:p w14:paraId="1BA83E95" w14:textId="32EEB38C" w:rsidR="006B3B8A" w:rsidRPr="00363280" w:rsidRDefault="006B3B8A" w:rsidP="00363280">
            <w:pPr>
              <w:pStyle w:val="ListParagraph"/>
              <w:numPr>
                <w:ilvl w:val="0"/>
                <w:numId w:val="2"/>
              </w:numPr>
              <w:ind w:left="173" w:hanging="173"/>
            </w:pPr>
            <w:r w:rsidRPr="00A60591">
              <w:t>Damage to or scarring of the lungs which may cause shortness of breath, cough, wheezing</w:t>
            </w:r>
          </w:p>
          <w:p w14:paraId="2075A728" w14:textId="0A6ABD95" w:rsidR="006B3B8A" w:rsidRPr="00363280" w:rsidRDefault="006B3B8A" w:rsidP="00363280">
            <w:pPr>
              <w:pStyle w:val="ListParagraph"/>
              <w:numPr>
                <w:ilvl w:val="0"/>
                <w:numId w:val="2"/>
              </w:numPr>
              <w:ind w:left="173" w:hanging="173"/>
            </w:pPr>
            <w:r w:rsidRPr="00A60591">
              <w:t>Kidney damage which may cause swelling, may require dialysis</w:t>
            </w:r>
          </w:p>
          <w:p w14:paraId="5C9A78E1" w14:textId="3BF7A7B0" w:rsidR="006B3B8A" w:rsidRPr="00363280" w:rsidRDefault="006B3B8A" w:rsidP="00363280">
            <w:pPr>
              <w:pStyle w:val="ListParagraph"/>
              <w:numPr>
                <w:ilvl w:val="0"/>
                <w:numId w:val="2"/>
              </w:numPr>
              <w:ind w:left="173" w:hanging="173"/>
            </w:pPr>
            <w:r w:rsidRPr="00A60591">
              <w:t>Swelling of the retina (possible vision loss)</w:t>
            </w:r>
          </w:p>
          <w:p w14:paraId="67E8E6CC" w14:textId="26E8EB5F" w:rsidR="004A39AB" w:rsidRPr="00363280" w:rsidRDefault="006B3B8A" w:rsidP="00363280">
            <w:pPr>
              <w:pStyle w:val="ListParagraph"/>
              <w:numPr>
                <w:ilvl w:val="0"/>
                <w:numId w:val="2"/>
              </w:numPr>
              <w:spacing w:after="0"/>
              <w:ind w:left="173" w:hanging="173"/>
            </w:pPr>
            <w:r w:rsidRPr="00A60591">
              <w:t>Stevens-Johnson syndrome which may cause severe skin rash with blisters and peeling which can involve mouth and other parts of the body</w:t>
            </w:r>
          </w:p>
        </w:tc>
      </w:tr>
    </w:tbl>
    <w:bookmarkEnd w:id="2"/>
    <w:p w14:paraId="33F31C52" w14:textId="400DCC2B" w:rsidR="004A39AB" w:rsidRPr="00363280" w:rsidRDefault="006B3B8A" w:rsidP="00363280">
      <w:pPr>
        <w:spacing w:before="240"/>
        <w:ind w:left="173" w:hanging="173"/>
        <w:rPr>
          <w:rFonts w:cs="Calibri"/>
        </w:rPr>
      </w:pPr>
      <w:r w:rsidRPr="00A60591">
        <w:rPr>
          <w:rFonts w:cs="Calibri"/>
        </w:rPr>
        <w:t>Patients should be aware that Docetaxel may cause them to become intoxicated from the alcohol it contains. Patients should avoid driving, operating machinery, or performing other activities that are dangerous within one to two hours after the infusion of Docetaxel.  In addition, some medications, such as pain relievers and sleep aids, may interact with the alcohol in the Docetaxel infusion and worsen the intoxicating effects.</w:t>
      </w:r>
    </w:p>
    <w:sectPr w:rsidR="004A39AB" w:rsidRPr="00363280" w:rsidSect="004A39AB">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350"/>
    </w:tblGrid>
    <w:tr w:rsidR="004A39AB" w:rsidRPr="004A39AB" w14:paraId="38A18D54" w14:textId="77777777" w:rsidTr="009E45BF">
      <w:trPr>
        <w:trHeight w:val="2551"/>
      </w:trPr>
      <w:tc>
        <w:tcPr>
          <w:tcW w:w="9350" w:type="dxa"/>
          <w:shd w:val="clear" w:color="auto" w:fill="FFFF00"/>
        </w:tcPr>
        <w:p w14:paraId="16080E0A" w14:textId="77777777" w:rsidR="004A39AB" w:rsidRPr="004A39AB" w:rsidRDefault="004A39AB" w:rsidP="009E45BF">
          <w:pPr>
            <w:jc w:val="center"/>
            <w:rPr>
              <w:b/>
              <w:bCs/>
            </w:rPr>
          </w:pPr>
          <w:r w:rsidRPr="004A39AB">
            <w:rPr>
              <w:b/>
              <w:bCs/>
            </w:rPr>
            <w:t>Please Note: This document is provided as a resource for research staff. This document is not approved by the NCI CIRB as a patient information sheet for use in conjunction with a clinical trial.</w:t>
          </w:r>
        </w:p>
        <w:p w14:paraId="4E0F5565" w14:textId="77777777" w:rsidR="004A39AB" w:rsidRPr="004A39AB" w:rsidRDefault="004A39AB" w:rsidP="009E45BF">
          <w:pPr>
            <w:jc w:val="center"/>
          </w:pPr>
          <w:r w:rsidRPr="004A39AB">
            <w:t>Before any materials can be used for patient education in conjunction with a clinical trial, they must be approved by the IRB of record.</w:t>
          </w:r>
        </w:p>
        <w:p w14:paraId="04688421" w14:textId="3D4BF3A2" w:rsidR="004A39AB" w:rsidRPr="004A39AB" w:rsidRDefault="004A39AB" w:rsidP="009E45BF">
          <w:pPr>
            <w:pStyle w:val="Header"/>
            <w:jc w:val="center"/>
            <w:rPr>
              <w:b/>
              <w:bCs/>
            </w:rPr>
          </w:pPr>
          <w:r w:rsidRPr="004A39AB">
            <w:t>US sites participating in CTEP-supported clinical trial networks can find protocol-specific NCI CIRB-approved patient educational materials on the protocol page on the CTSU website.</w:t>
          </w:r>
        </w:p>
      </w:tc>
    </w:tr>
  </w:tbl>
  <w:p w14:paraId="2305FDAE" w14:textId="04351B64" w:rsidR="004A39AB" w:rsidRDefault="004A39AB" w:rsidP="004A3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4F"/>
    <w:multiLevelType w:val="hybridMultilevel"/>
    <w:tmpl w:val="0BA4DBA0"/>
    <w:lvl w:ilvl="0" w:tplc="23C8074C">
      <w:start w:val="1"/>
      <w:numFmt w:val="bullet"/>
      <w:lvlText w:val=""/>
      <w:lvlJc w:val="left"/>
      <w:pPr>
        <w:ind w:left="1020" w:hanging="360"/>
      </w:pPr>
      <w:rPr>
        <w:rFonts w:ascii="Symbol" w:hAnsi="Symbol"/>
      </w:rPr>
    </w:lvl>
    <w:lvl w:ilvl="1" w:tplc="3D7C22C4">
      <w:start w:val="1"/>
      <w:numFmt w:val="bullet"/>
      <w:lvlText w:val=""/>
      <w:lvlJc w:val="left"/>
      <w:pPr>
        <w:ind w:left="1020" w:hanging="360"/>
      </w:pPr>
      <w:rPr>
        <w:rFonts w:ascii="Symbol" w:hAnsi="Symbol"/>
      </w:rPr>
    </w:lvl>
    <w:lvl w:ilvl="2" w:tplc="06F06070">
      <w:start w:val="1"/>
      <w:numFmt w:val="bullet"/>
      <w:lvlText w:val=""/>
      <w:lvlJc w:val="left"/>
      <w:pPr>
        <w:ind w:left="1020" w:hanging="360"/>
      </w:pPr>
      <w:rPr>
        <w:rFonts w:ascii="Symbol" w:hAnsi="Symbol"/>
      </w:rPr>
    </w:lvl>
    <w:lvl w:ilvl="3" w:tplc="2A729F28">
      <w:start w:val="1"/>
      <w:numFmt w:val="bullet"/>
      <w:lvlText w:val=""/>
      <w:lvlJc w:val="left"/>
      <w:pPr>
        <w:ind w:left="1020" w:hanging="360"/>
      </w:pPr>
      <w:rPr>
        <w:rFonts w:ascii="Symbol" w:hAnsi="Symbol"/>
      </w:rPr>
    </w:lvl>
    <w:lvl w:ilvl="4" w:tplc="485C7430">
      <w:start w:val="1"/>
      <w:numFmt w:val="bullet"/>
      <w:lvlText w:val=""/>
      <w:lvlJc w:val="left"/>
      <w:pPr>
        <w:ind w:left="1020" w:hanging="360"/>
      </w:pPr>
      <w:rPr>
        <w:rFonts w:ascii="Symbol" w:hAnsi="Symbol"/>
      </w:rPr>
    </w:lvl>
    <w:lvl w:ilvl="5" w:tplc="EF8A2444">
      <w:start w:val="1"/>
      <w:numFmt w:val="bullet"/>
      <w:lvlText w:val=""/>
      <w:lvlJc w:val="left"/>
      <w:pPr>
        <w:ind w:left="1020" w:hanging="360"/>
      </w:pPr>
      <w:rPr>
        <w:rFonts w:ascii="Symbol" w:hAnsi="Symbol"/>
      </w:rPr>
    </w:lvl>
    <w:lvl w:ilvl="6" w:tplc="91700132">
      <w:start w:val="1"/>
      <w:numFmt w:val="bullet"/>
      <w:lvlText w:val=""/>
      <w:lvlJc w:val="left"/>
      <w:pPr>
        <w:ind w:left="1020" w:hanging="360"/>
      </w:pPr>
      <w:rPr>
        <w:rFonts w:ascii="Symbol" w:hAnsi="Symbol"/>
      </w:rPr>
    </w:lvl>
    <w:lvl w:ilvl="7" w:tplc="5CB0255C">
      <w:start w:val="1"/>
      <w:numFmt w:val="bullet"/>
      <w:lvlText w:val=""/>
      <w:lvlJc w:val="left"/>
      <w:pPr>
        <w:ind w:left="1020" w:hanging="360"/>
      </w:pPr>
      <w:rPr>
        <w:rFonts w:ascii="Symbol" w:hAnsi="Symbol"/>
      </w:rPr>
    </w:lvl>
    <w:lvl w:ilvl="8" w:tplc="88440A2C">
      <w:start w:val="1"/>
      <w:numFmt w:val="bullet"/>
      <w:lvlText w:val=""/>
      <w:lvlJc w:val="left"/>
      <w:pPr>
        <w:ind w:left="1020" w:hanging="360"/>
      </w:pPr>
      <w:rPr>
        <w:rFonts w:ascii="Symbol" w:hAnsi="Symbol"/>
      </w:rPr>
    </w:lvl>
  </w:abstractNum>
  <w:abstractNum w:abstractNumId="1"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77E92"/>
    <w:multiLevelType w:val="hybridMultilevel"/>
    <w:tmpl w:val="F33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1"/>
  </w:num>
  <w:num w:numId="2" w16cid:durableId="5136841">
    <w:abstractNumId w:val="6"/>
  </w:num>
  <w:num w:numId="3" w16cid:durableId="511574614">
    <w:abstractNumId w:val="2"/>
  </w:num>
  <w:num w:numId="4" w16cid:durableId="1390878601">
    <w:abstractNumId w:val="5"/>
  </w:num>
  <w:num w:numId="5" w16cid:durableId="1555770571">
    <w:abstractNumId w:val="4"/>
  </w:num>
  <w:num w:numId="6" w16cid:durableId="499084864">
    <w:abstractNumId w:val="3"/>
  </w:num>
  <w:num w:numId="7" w16cid:durableId="112689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31AD8"/>
    <w:rsid w:val="00066090"/>
    <w:rsid w:val="000872F8"/>
    <w:rsid w:val="000D2292"/>
    <w:rsid w:val="00102EE9"/>
    <w:rsid w:val="001106A4"/>
    <w:rsid w:val="00130C28"/>
    <w:rsid w:val="00150EB0"/>
    <w:rsid w:val="00151F1D"/>
    <w:rsid w:val="001A6AA5"/>
    <w:rsid w:val="001A6E81"/>
    <w:rsid w:val="0029707A"/>
    <w:rsid w:val="002E6117"/>
    <w:rsid w:val="00331CEF"/>
    <w:rsid w:val="00333BB6"/>
    <w:rsid w:val="00363280"/>
    <w:rsid w:val="004A3302"/>
    <w:rsid w:val="004A39AB"/>
    <w:rsid w:val="00507928"/>
    <w:rsid w:val="00513C0F"/>
    <w:rsid w:val="0053331B"/>
    <w:rsid w:val="00546FA8"/>
    <w:rsid w:val="00563F23"/>
    <w:rsid w:val="00696939"/>
    <w:rsid w:val="006B3B8A"/>
    <w:rsid w:val="006F188B"/>
    <w:rsid w:val="00704390"/>
    <w:rsid w:val="00713040"/>
    <w:rsid w:val="00745FC3"/>
    <w:rsid w:val="0078683E"/>
    <w:rsid w:val="007B2ADD"/>
    <w:rsid w:val="007C0608"/>
    <w:rsid w:val="00801FF5"/>
    <w:rsid w:val="00847E94"/>
    <w:rsid w:val="0087542D"/>
    <w:rsid w:val="00913D4D"/>
    <w:rsid w:val="00936C68"/>
    <w:rsid w:val="009516C4"/>
    <w:rsid w:val="009E45BF"/>
    <w:rsid w:val="00A60591"/>
    <w:rsid w:val="00A80086"/>
    <w:rsid w:val="00AD6D62"/>
    <w:rsid w:val="00AF7F4B"/>
    <w:rsid w:val="00BE2F8C"/>
    <w:rsid w:val="00C111DC"/>
    <w:rsid w:val="00C81F1D"/>
    <w:rsid w:val="00CF48CE"/>
    <w:rsid w:val="00D43EE1"/>
    <w:rsid w:val="00D649F5"/>
    <w:rsid w:val="00D70FF4"/>
    <w:rsid w:val="00D97361"/>
    <w:rsid w:val="00DA1004"/>
    <w:rsid w:val="00DD4F60"/>
    <w:rsid w:val="00DE0884"/>
    <w:rsid w:val="00E000C9"/>
    <w:rsid w:val="00E760F3"/>
    <w:rsid w:val="00E84CCF"/>
    <w:rsid w:val="00ED783D"/>
    <w:rsid w:val="00EE742A"/>
    <w:rsid w:val="00F069CF"/>
    <w:rsid w:val="00F33B9A"/>
    <w:rsid w:val="00F50BE0"/>
    <w:rsid w:val="00FA7A9B"/>
    <w:rsid w:val="00FC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A5"/>
    <w:pPr>
      <w:spacing w:after="240"/>
    </w:pPr>
    <w:rPr>
      <w:rFonts w:ascii="Calibri" w:hAnsi="Calibri"/>
      <w:sz w:val="24"/>
    </w:rPr>
  </w:style>
  <w:style w:type="paragraph" w:styleId="Heading1">
    <w:name w:val="heading 1"/>
    <w:basedOn w:val="Heading2"/>
    <w:next w:val="Normal"/>
    <w:link w:val="Heading1Char"/>
    <w:uiPriority w:val="9"/>
    <w:qFormat/>
    <w:rsid w:val="00363280"/>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3280"/>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Pertuzumab, Trastuzumab, Docetaxel Side Effects</vt:lpstr>
    </vt:vector>
  </TitlesOfParts>
  <Company>National Cancer Institute</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Pertuzumab, Trastuzumab, Docetaxel Side Effects</dc:title>
  <dc:subject>Possible Side Effects of Pertuzumab, Trastuzumab, Docetaxel</dc:subject>
  <dc:creator>HHS/DCTD/CTEP</dc:creator>
  <cp:keywords>Pertuzumab, Trastuzumab, Docetaxel, possible, side effects, commercial use, streamlined summary</cp:keywords>
  <dc:description/>
  <cp:lastModifiedBy>Williams, Christopher (NIH/NCI) [C]</cp:lastModifiedBy>
  <cp:revision>2</cp:revision>
  <dcterms:created xsi:type="dcterms:W3CDTF">2026-02-10T01:53:00Z</dcterms:created>
  <dcterms:modified xsi:type="dcterms:W3CDTF">2026-02-10T01:53:00Z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