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E563A" w14:paraId="6BC5D0E8" w14:textId="77777777" w:rsidTr="00201404">
        <w:tc>
          <w:tcPr>
            <w:tcW w:w="9350" w:type="dxa"/>
            <w:shd w:val="clear" w:color="auto" w:fill="FFFF00"/>
          </w:tcPr>
          <w:p w14:paraId="01710A6B" w14:textId="77777777" w:rsidR="006E563A" w:rsidRDefault="006E563A" w:rsidP="00201404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8A9640A" w14:textId="77777777" w:rsidR="006E563A" w:rsidRDefault="006E563A" w:rsidP="00201404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456FC42D" w14:textId="77777777" w:rsidR="006E563A" w:rsidRPr="00151F1D" w:rsidRDefault="006E563A" w:rsidP="00201404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1EEC36F7" w14:textId="77777777" w:rsidR="006E563A" w:rsidRDefault="006E563A" w:rsidP="006E563A"/>
    <w:p w14:paraId="67055DBF" w14:textId="34EB73D6" w:rsidR="006E563A" w:rsidRPr="00E6046E" w:rsidRDefault="006E563A" w:rsidP="006E563A">
      <w:pPr>
        <w:pStyle w:val="Heading1"/>
        <w:rPr>
          <w:b w:val="0"/>
        </w:rPr>
      </w:pPr>
      <w:r w:rsidRPr="00E6046E">
        <w:t xml:space="preserve">Possible Side Effects of </w:t>
      </w:r>
      <w:r w:rsidRPr="008969EE">
        <w:t>FOLFIRINOX (Leucovorin, 5-Fluorouracil, Irinotecan, Oxaliplatin)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53EA552F" w14:textId="77777777" w:rsidR="006E563A" w:rsidRPr="00E6046E" w:rsidRDefault="006E563A" w:rsidP="006E563A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C13E6CF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8969EE" w:rsidRPr="008969EE">
              <w:t>FOLFIRINOX (Leucovorin, 5-Fluorouracil, Irinotecan, Oxaliplatin)</w:t>
            </w:r>
            <w:r>
              <w:t>, more than 20 and up to 100 may have:</w:t>
            </w:r>
          </w:p>
        </w:tc>
      </w:tr>
      <w:tr w:rsidR="008969EE" w14:paraId="3302E35E" w14:textId="77777777" w:rsidTr="004A39AB">
        <w:tc>
          <w:tcPr>
            <w:tcW w:w="9350" w:type="dxa"/>
          </w:tcPr>
          <w:p w14:paraId="73B141BB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Cholin</w:t>
            </w:r>
            <w:r>
              <w:t>er</w:t>
            </w:r>
            <w:r w:rsidRPr="00CF448A">
              <w:t>gic syndrome, which may cause increased sweating, flushed skin, watering eyes, stuffy nose, drooling</w:t>
            </w:r>
          </w:p>
          <w:p w14:paraId="72339678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Shortness of breath</w:t>
            </w:r>
          </w:p>
          <w:p w14:paraId="40207D65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Infection, </w:t>
            </w:r>
            <w:r>
              <w:t xml:space="preserve">possibly in the blood, </w:t>
            </w:r>
            <w:r w:rsidRPr="00CF448A">
              <w:t>especially when white blood cell count is low</w:t>
            </w:r>
          </w:p>
          <w:p w14:paraId="397752A6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Bruising, bleeding or internal bleeding which may cause black tarry stools</w:t>
            </w:r>
            <w:r>
              <w:t xml:space="preserve">, blood in </w:t>
            </w:r>
            <w:proofErr w:type="gramStart"/>
            <w:r>
              <w:t>vomit</w:t>
            </w:r>
            <w:proofErr w:type="gramEnd"/>
            <w:r>
              <w:t xml:space="preserve"> or urine, or coughing up blood</w:t>
            </w:r>
          </w:p>
          <w:p w14:paraId="31AA84AB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Anemia which may require a blood transfusion</w:t>
            </w:r>
          </w:p>
          <w:p w14:paraId="75B07034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Severe diarrhea, nausea, vomiting, constipation, loss of appetite, weight loss</w:t>
            </w:r>
            <w:r>
              <w:t>, belly pain</w:t>
            </w:r>
          </w:p>
          <w:p w14:paraId="0CCD842A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Sores in mouth which may cause difficulty swallowing</w:t>
            </w:r>
          </w:p>
          <w:p w14:paraId="4353E9BE" w14:textId="515B3CDF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21759">
              <w:t>Numbness</w:t>
            </w:r>
            <w:r>
              <w:t>, pain</w:t>
            </w:r>
            <w:r w:rsidRPr="00921759">
              <w:t xml:space="preserve"> and tingling of the arms</w:t>
            </w:r>
            <w:r>
              <w:t xml:space="preserve">, </w:t>
            </w:r>
            <w:r w:rsidRPr="00921759">
              <w:t>legs</w:t>
            </w:r>
            <w:r>
              <w:t>, fingers, toes</w:t>
            </w:r>
          </w:p>
          <w:p w14:paraId="053AF77E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63596">
              <w:t>Tingling or a loss of feeling in your hands, feet, nose, or tightness in throat or jaw, or difficulty swallowing or breathing which may be made worse by exposure to cold</w:t>
            </w:r>
            <w:r>
              <w:t xml:space="preserve"> (may occur more than 14 days after administration of the drug)</w:t>
            </w:r>
          </w:p>
          <w:p w14:paraId="42354B9B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EAF">
              <w:t>Difficulty walking, using your hands, opening mouth, talking, with balance and hearing, smelling, eating, sleeping, emptying the bladder</w:t>
            </w:r>
            <w:r>
              <w:t xml:space="preserve"> (may occur more than 14 days after administration of the drug)</w:t>
            </w:r>
          </w:p>
          <w:p w14:paraId="11A240F1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Swelling</w:t>
            </w:r>
            <w:r>
              <w:t>,</w:t>
            </w:r>
            <w:r w:rsidRPr="00CF448A">
              <w:t xml:space="preserve"> redness</w:t>
            </w:r>
            <w:r>
              <w:t>, or pain</w:t>
            </w:r>
            <w:r w:rsidRPr="00CF448A">
              <w:t xml:space="preserve"> at the site of medication injection</w:t>
            </w:r>
          </w:p>
          <w:p w14:paraId="18A229E8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Hand-foot syndrome (palmar-plantar erythrodysesthesia) </w:t>
            </w:r>
            <w:r>
              <w:t xml:space="preserve">which may cause </w:t>
            </w:r>
            <w:r w:rsidRPr="00CF448A">
              <w:t>redness, pain or peeling of palms and soles</w:t>
            </w:r>
          </w:p>
          <w:p w14:paraId="202E6048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I</w:t>
            </w:r>
            <w:r w:rsidRPr="00CF448A">
              <w:t>ncreased risk of sunburn, itching, blisters on the skin, dry skin</w:t>
            </w:r>
          </w:p>
          <w:p w14:paraId="2E306A12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Fever, pain</w:t>
            </w:r>
            <w:r>
              <w:t>, cough</w:t>
            </w:r>
          </w:p>
          <w:p w14:paraId="12620C0F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Tiredness, weakness, dizziness</w:t>
            </w:r>
          </w:p>
          <w:p w14:paraId="307C7E37" w14:textId="567554EB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F448A">
              <w:lastRenderedPageBreak/>
              <w:t>Hair loss</w:t>
            </w:r>
          </w:p>
        </w:tc>
      </w:tr>
    </w:tbl>
    <w:p w14:paraId="2FC3904F" w14:textId="77777777" w:rsidR="004A39AB" w:rsidRPr="008969EE" w:rsidRDefault="004A39AB" w:rsidP="008969EE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40A245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969EE" w:rsidRPr="008969EE">
              <w:t>FOLFIRINOX (Leucovorin, 5-Fluorouracil, Irinotecan, Oxaliplatin)</w:t>
            </w:r>
            <w:r w:rsidRPr="008969EE">
              <w:t>,</w:t>
            </w:r>
            <w:r>
              <w:t xml:space="preserve"> from 4 to 20 may have:</w:t>
            </w:r>
          </w:p>
        </w:tc>
      </w:tr>
      <w:tr w:rsidR="008969EE" w14:paraId="676063A8" w14:textId="77777777" w:rsidTr="00105F93">
        <w:tc>
          <w:tcPr>
            <w:tcW w:w="9350" w:type="dxa"/>
          </w:tcPr>
          <w:p w14:paraId="4209D8E7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Chest pain</w:t>
            </w:r>
            <w:r>
              <w:t>, shortness of breath</w:t>
            </w:r>
          </w:p>
          <w:p w14:paraId="0ED2EA4A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Abnormal heartbeat</w:t>
            </w:r>
            <w:r>
              <w:t xml:space="preserve"> or change in heart rhythm which may cause fainting</w:t>
            </w:r>
          </w:p>
          <w:p w14:paraId="4C72E097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Stroke, which may cause paralysis, weakness, headache</w:t>
            </w:r>
          </w:p>
          <w:p w14:paraId="6E1ED42C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Swelling of the body</w:t>
            </w:r>
            <w:r>
              <w:t>, including the belly</w:t>
            </w:r>
            <w:proofErr w:type="gramStart"/>
            <w:r>
              <w:t>, which</w:t>
            </w:r>
            <w:proofErr w:type="gramEnd"/>
            <w:r>
              <w:t xml:space="preserve"> may cause shortness of breath</w:t>
            </w:r>
          </w:p>
          <w:p w14:paraId="2FBE9B97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Low blood pressure which may cause </w:t>
            </w:r>
            <w:proofErr w:type="gramStart"/>
            <w:r w:rsidRPr="00CF448A">
              <w:t>feeling faint</w:t>
            </w:r>
            <w:proofErr w:type="gramEnd"/>
          </w:p>
          <w:p w14:paraId="3E63B038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Confusion</w:t>
            </w:r>
          </w:p>
          <w:p w14:paraId="116C2F4F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7E5FB0CD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Allergic reaction which may cause rash, low blood pressure, wheezing, shortness of breath, swelling of the face or throat</w:t>
            </w:r>
          </w:p>
          <w:p w14:paraId="380EB723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Blood clot</w:t>
            </w:r>
            <w:r>
              <w:t>, including in the lung,</w:t>
            </w:r>
            <w:r w:rsidRPr="00CF448A">
              <w:t xml:space="preserve"> which may cause swelling, pain, shortness of breath</w:t>
            </w:r>
          </w:p>
          <w:p w14:paraId="27948D90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216FA">
              <w:t>Bleeding from multiple sites including bleeding of the brain</w:t>
            </w:r>
          </w:p>
          <w:p w14:paraId="09078A9C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E06EF">
              <w:t>Liver damage</w:t>
            </w:r>
            <w:r>
              <w:t xml:space="preserve"> or scarring</w:t>
            </w:r>
            <w:r w:rsidRPr="002E06EF">
              <w:t xml:space="preserve"> which may cause yellowing of eyes and skin</w:t>
            </w:r>
          </w:p>
          <w:p w14:paraId="015D261E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Visual </w:t>
            </w:r>
            <w:r>
              <w:t xml:space="preserve">loss, visual </w:t>
            </w:r>
            <w:r w:rsidRPr="00CF448A">
              <w:t>disturbances, abnormal eye movement, discomfort from light, watering eyes</w:t>
            </w:r>
          </w:p>
          <w:p w14:paraId="6D8BFD26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2E06EF">
              <w:t>Hearing loss</w:t>
            </w:r>
          </w:p>
          <w:p w14:paraId="2E7B9A1C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Dehydration</w:t>
            </w:r>
          </w:p>
          <w:p w14:paraId="56D3FA90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Sores in stomach which may cause belly pain</w:t>
            </w:r>
          </w:p>
          <w:p w14:paraId="1D4050B7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Heartburn, passing gas</w:t>
            </w:r>
          </w:p>
          <w:p w14:paraId="47652D42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56FEC">
              <w:t>Changes in taste, voice</w:t>
            </w:r>
            <w:r>
              <w:t>, dry mouth</w:t>
            </w:r>
          </w:p>
          <w:p w14:paraId="0F862056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Damage to the muscles which may cause muscle pain, </w:t>
            </w:r>
            <w:r w:rsidRPr="00056FEC">
              <w:t>dark red urine</w:t>
            </w:r>
          </w:p>
          <w:p w14:paraId="2793312D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62EAF">
              <w:t>Muscle weakness</w:t>
            </w:r>
          </w:p>
          <w:p w14:paraId="54D24C16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 xml:space="preserve">Difficulty sleeping </w:t>
            </w:r>
          </w:p>
          <w:p w14:paraId="22BDBF70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1184">
              <w:t xml:space="preserve">Headache, chills, stuffy nose </w:t>
            </w:r>
          </w:p>
          <w:p w14:paraId="50805C43" w14:textId="6465DE30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F448A">
              <w:t>Change in skin or nails</w:t>
            </w:r>
            <w:r>
              <w:t>, rash</w:t>
            </w:r>
          </w:p>
        </w:tc>
      </w:tr>
    </w:tbl>
    <w:p w14:paraId="608C5003" w14:textId="77777777" w:rsidR="004A39AB" w:rsidRPr="008969EE" w:rsidRDefault="004A39AB" w:rsidP="008969EE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705961F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969EE" w:rsidRPr="008969EE">
              <w:t>FOLFIRINOX (Leucovorin, 5-Fluorouracil, Irinotecan, Oxaliplatin)</w:t>
            </w:r>
            <w:r>
              <w:t>, 3 or fewer may have:</w:t>
            </w:r>
          </w:p>
        </w:tc>
      </w:tr>
      <w:tr w:rsidR="008969EE" w14:paraId="6CEB00C4" w14:textId="77777777" w:rsidTr="00105F93">
        <w:tc>
          <w:tcPr>
            <w:tcW w:w="9350" w:type="dxa"/>
          </w:tcPr>
          <w:p w14:paraId="2DF65DD5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Posterior Reversible Encephalopathy Syndrome which may cause headache, seizure, blindness</w:t>
            </w:r>
          </w:p>
          <w:p w14:paraId="5F7A8959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Heart attack or heart failure, which may cause shortness of breath, swelling of ankles, and tiredness</w:t>
            </w:r>
          </w:p>
          <w:p w14:paraId="7AF3F46B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Altered mental status, confusion, disorientation, coma, difficulty walking and balancing</w:t>
            </w:r>
          </w:p>
          <w:p w14:paraId="7BF4ABF2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Sinusoidal obstructive syndrome (SOS) which may cause damage to the liver, yellowing of the eyes and skin, swelling</w:t>
            </w:r>
          </w:p>
          <w:p w14:paraId="74756583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Hemolytic uremic syndrome which may cause anemia, kidney problems, tiredness, bruising, swelling, or may require dialysis</w:t>
            </w:r>
          </w:p>
          <w:p w14:paraId="56C44381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F448A">
              <w:t>Kidney damage which may cause swelling, may require dialysis</w:t>
            </w:r>
          </w:p>
          <w:p w14:paraId="425EA1E0" w14:textId="77777777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Blockage of the bowels which may cause pain, vomiting, constipation</w:t>
            </w:r>
          </w:p>
          <w:p w14:paraId="67E8E6CC" w14:textId="4374EB70" w:rsidR="008969EE" w:rsidRPr="008969EE" w:rsidRDefault="008969EE" w:rsidP="008969E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CF448A">
              <w:t>Stevens-Johnson syndrome which may cause severe skin rash with blisters and peeling which can involve the mouth and other parts of the body</w:t>
            </w:r>
          </w:p>
        </w:tc>
      </w:tr>
      <w:bookmarkEnd w:id="2"/>
    </w:tbl>
    <w:p w14:paraId="33F31C52" w14:textId="77777777" w:rsidR="004A39AB" w:rsidRPr="008969EE" w:rsidRDefault="004A39AB" w:rsidP="008969EE">
      <w:pPr>
        <w:ind w:left="173" w:hanging="173"/>
      </w:pPr>
    </w:p>
    <w:sectPr w:rsidR="004A39AB" w:rsidRPr="008969EE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11FF"/>
    <w:multiLevelType w:val="hybridMultilevel"/>
    <w:tmpl w:val="32F2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31E8"/>
    <w:multiLevelType w:val="hybridMultilevel"/>
    <w:tmpl w:val="2BCE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713122202">
    <w:abstractNumId w:val="0"/>
  </w:num>
  <w:num w:numId="4" w16cid:durableId="1330063323">
    <w:abstractNumId w:val="2"/>
  </w:num>
  <w:num w:numId="5" w16cid:durableId="113796056">
    <w:abstractNumId w:val="4"/>
  </w:num>
  <w:num w:numId="6" w16cid:durableId="158861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331CEF"/>
    <w:rsid w:val="00333BB6"/>
    <w:rsid w:val="00465FDC"/>
    <w:rsid w:val="004A3302"/>
    <w:rsid w:val="004A39AB"/>
    <w:rsid w:val="00524733"/>
    <w:rsid w:val="0053331B"/>
    <w:rsid w:val="00546FA8"/>
    <w:rsid w:val="00562906"/>
    <w:rsid w:val="00563F23"/>
    <w:rsid w:val="005D01EB"/>
    <w:rsid w:val="00696939"/>
    <w:rsid w:val="006E563A"/>
    <w:rsid w:val="00713040"/>
    <w:rsid w:val="00777A78"/>
    <w:rsid w:val="007C0608"/>
    <w:rsid w:val="00801FF5"/>
    <w:rsid w:val="00847E94"/>
    <w:rsid w:val="0087542D"/>
    <w:rsid w:val="008969EE"/>
    <w:rsid w:val="00913D4D"/>
    <w:rsid w:val="00936C68"/>
    <w:rsid w:val="009E45BF"/>
    <w:rsid w:val="00AD6D62"/>
    <w:rsid w:val="00AF7F4B"/>
    <w:rsid w:val="00BC5FB7"/>
    <w:rsid w:val="00BE2F8C"/>
    <w:rsid w:val="00C81F1D"/>
    <w:rsid w:val="00CB4061"/>
    <w:rsid w:val="00CF48CE"/>
    <w:rsid w:val="00DA1004"/>
    <w:rsid w:val="00DD4F60"/>
    <w:rsid w:val="00E000C9"/>
    <w:rsid w:val="00E760F3"/>
    <w:rsid w:val="00EB5BD2"/>
    <w:rsid w:val="00ED783D"/>
    <w:rsid w:val="00F40BFF"/>
    <w:rsid w:val="00F50BE0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E563A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E563A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FOLFIRINOX (Leucovorin, 5-Fluorouracil, Irinotecan, Oxaliplatin) Side Effects</vt:lpstr>
    </vt:vector>
  </TitlesOfParts>
  <Company>National Cancer Institute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FOLFIRINOX (Leucovorin, 5-Fluorouracil, Irinotecan, Oxaliplatin) Side Effects</dc:title>
  <dc:subject>Possible Side Effects of FOLFIRINOX (Leucovorin, 5-Fluorouracil, Irinotecan, Oxaliplatin)</dc:subject>
  <dc:creator>HHS/DCTD/CTEP</dc:creator>
  <cp:keywords>FOLFIRINOX, Leucovorin, 5-Fluorouracil, 5-FU, Irinotecan, Oxaliplatin, possible, side effects, commercial use, streamlined summary</cp:keywords>
  <dc:description/>
  <cp:lastModifiedBy>Williams, Christopher (NIH/NCI) [C]</cp:lastModifiedBy>
  <cp:revision>2</cp:revision>
  <dcterms:created xsi:type="dcterms:W3CDTF">2026-02-04T22:48:00Z</dcterms:created>
  <dcterms:modified xsi:type="dcterms:W3CDTF">2026-02-04T22:48:00Z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