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605B8" w14:textId="7D16E80C" w:rsidR="00D135EC" w:rsidRPr="00F60434" w:rsidRDefault="00311BA9" w:rsidP="005B647A">
      <w:pPr>
        <w:pStyle w:val="Heading1"/>
        <w:ind w:left="173"/>
      </w:pPr>
      <w:r w:rsidRPr="00311BA9">
        <w:t>Possible Side Effects o</w:t>
      </w:r>
      <w:r>
        <w:t xml:space="preserve">f </w:t>
      </w:r>
      <w:r w:rsidR="004F2A80">
        <w:t>Docetaxel</w:t>
      </w:r>
      <w:r w:rsidR="003E7ABE">
        <w:t>, Irinotecan</w:t>
      </w:r>
      <w:r>
        <w:t xml:space="preserve"> </w:t>
      </w:r>
      <w:r w:rsidRPr="00311BA9">
        <w:t xml:space="preserve">(Table Version Date: </w:t>
      </w:r>
      <w:r w:rsidR="005B647A">
        <w:t>April 15, 2022</w:t>
      </w:r>
      <w:r w:rsidRPr="00311BA9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0126A5" w14:paraId="13AB8406" w14:textId="77777777" w:rsidTr="003203DB">
        <w:trPr>
          <w:cantSplit/>
          <w:tblHeader/>
        </w:trPr>
        <w:tc>
          <w:tcPr>
            <w:tcW w:w="10656" w:type="dxa"/>
          </w:tcPr>
          <w:p w14:paraId="49965E93" w14:textId="77777777" w:rsidR="00B5494F" w:rsidRPr="00285051" w:rsidRDefault="00B5494F" w:rsidP="000126A5">
            <w:pPr>
              <w:jc w:val="center"/>
              <w:rPr>
                <w:rStyle w:val="Strong"/>
              </w:rPr>
            </w:pPr>
            <w:r w:rsidRPr="00285051">
              <w:rPr>
                <w:rStyle w:val="Strong"/>
              </w:rPr>
              <w:t>COMMON, SOME MAY BE SERIOUS</w:t>
            </w:r>
          </w:p>
          <w:p w14:paraId="28B71BA0" w14:textId="77777777" w:rsidR="00704B3C" w:rsidRPr="000126A5" w:rsidRDefault="00B5494F" w:rsidP="00012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In 100 people receiving Docetaxel,</w:t>
            </w:r>
            <w:r w:rsidR="003E7A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7ABE" w:rsidRPr="008F4F6C">
              <w:rPr>
                <w:rFonts w:ascii="Times New Roman" w:hAnsi="Times New Roman"/>
                <w:sz w:val="24"/>
                <w:szCs w:val="24"/>
              </w:rPr>
              <w:t xml:space="preserve">Irinotecan, 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41485D">
              <w:rPr>
                <w:rFonts w:ascii="Times New Roman" w:hAnsi="Times New Roman"/>
                <w:sz w:val="24"/>
                <w:szCs w:val="24"/>
              </w:rPr>
              <w:t xml:space="preserve"> and up to 100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0126A5" w14:paraId="4B9BA573" w14:textId="77777777" w:rsidTr="003203DB">
        <w:trPr>
          <w:cantSplit/>
        </w:trPr>
        <w:tc>
          <w:tcPr>
            <w:tcW w:w="10656" w:type="dxa"/>
          </w:tcPr>
          <w:p w14:paraId="4EC8F747" w14:textId="77777777" w:rsidR="005C5846" w:rsidRPr="000126A5" w:rsidRDefault="005C5846" w:rsidP="005C584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Swelling of the body</w:t>
            </w:r>
            <w:r>
              <w:rPr>
                <w:rFonts w:ascii="Times New Roman" w:hAnsi="Times New Roman"/>
                <w:sz w:val="24"/>
                <w:szCs w:val="24"/>
              </w:rPr>
              <w:t>, including the belly</w:t>
            </w:r>
          </w:p>
          <w:p w14:paraId="0C373506" w14:textId="50A038F5" w:rsidR="005B647A" w:rsidRDefault="00B45A0F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5A0F">
              <w:rPr>
                <w:rFonts w:ascii="Times New Roman" w:hAnsi="Times New Roman"/>
                <w:sz w:val="24"/>
                <w:szCs w:val="24"/>
              </w:rPr>
              <w:t>Cholingeric</w:t>
            </w:r>
            <w:proofErr w:type="spellEnd"/>
            <w:r w:rsidRPr="00B45A0F">
              <w:rPr>
                <w:rFonts w:ascii="Times New Roman" w:hAnsi="Times New Roman"/>
                <w:sz w:val="24"/>
                <w:szCs w:val="24"/>
              </w:rPr>
              <w:t xml:space="preserve"> syndrome, which may cause increased sweating, flushed skin, watering eyes, runny </w:t>
            </w:r>
            <w:r w:rsidRPr="00E93BC1">
              <w:rPr>
                <w:rFonts w:ascii="Times New Roman" w:hAnsi="Times New Roman"/>
                <w:sz w:val="24"/>
                <w:szCs w:val="24"/>
              </w:rPr>
              <w:t>nose, drooling</w:t>
            </w:r>
          </w:p>
          <w:p w14:paraId="312B2FE4" w14:textId="54CE5F9F" w:rsidR="000F5A70" w:rsidRPr="008F4F6C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4F6C">
              <w:rPr>
                <w:rFonts w:ascii="Times New Roman" w:hAnsi="Times New Roman"/>
                <w:sz w:val="24"/>
                <w:szCs w:val="24"/>
              </w:rPr>
              <w:t>Cough, shortness of breath</w:t>
            </w:r>
          </w:p>
          <w:p w14:paraId="0ED99FA6" w14:textId="14D8B070" w:rsidR="000F5A70" w:rsidRPr="000126A5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Infection, especially when white blood cell count is low</w:t>
            </w:r>
          </w:p>
          <w:p w14:paraId="4DCE51C3" w14:textId="23B0636E" w:rsidR="000F5A70" w:rsidRPr="007C72AC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Anemia which may require blood transfusions</w:t>
            </w:r>
          </w:p>
          <w:p w14:paraId="5762D07C" w14:textId="55F510E0" w:rsidR="000F5A70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4F6C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0EE7FE1C" w14:textId="3801CBD6" w:rsidR="000F5A70" w:rsidRPr="007C72AC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4F6C">
              <w:rPr>
                <w:rFonts w:ascii="Times New Roman" w:hAnsi="Times New Roman"/>
                <w:sz w:val="24"/>
                <w:szCs w:val="24"/>
              </w:rPr>
              <w:t>Severe diarrhea</w:t>
            </w:r>
          </w:p>
          <w:p w14:paraId="287DFC57" w14:textId="26138A81" w:rsidR="000F5A70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Vomiting, nausea</w:t>
            </w:r>
            <w:r>
              <w:rPr>
                <w:rFonts w:ascii="Times New Roman" w:hAnsi="Times New Roman"/>
                <w:sz w:val="24"/>
                <w:szCs w:val="24"/>
              </w:rPr>
              <w:t>, loss of appetite, weight loss, constipation, bloating</w:t>
            </w:r>
          </w:p>
          <w:p w14:paraId="7487CBD8" w14:textId="7D3E3951" w:rsidR="000F5A70" w:rsidRPr="000126A5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2058B489" w14:textId="2DB5E7DF" w:rsidR="000F5A70" w:rsidRPr="008F4F6C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4F6C">
              <w:rPr>
                <w:rFonts w:ascii="Times New Roman" w:hAnsi="Times New Roman"/>
                <w:sz w:val="24"/>
                <w:szCs w:val="24"/>
              </w:rPr>
              <w:t>Fever, pain</w:t>
            </w:r>
          </w:p>
          <w:p w14:paraId="0612A5C5" w14:textId="439E8E35" w:rsidR="000F5A70" w:rsidRPr="008F4F6C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4F6C">
              <w:rPr>
                <w:rFonts w:ascii="Times New Roman" w:hAnsi="Times New Roman"/>
                <w:sz w:val="24"/>
                <w:szCs w:val="24"/>
              </w:rPr>
              <w:t>Dizziness, tiredness</w:t>
            </w:r>
            <w:r>
              <w:rPr>
                <w:rFonts w:ascii="Times New Roman" w:hAnsi="Times New Roman"/>
                <w:sz w:val="24"/>
                <w:szCs w:val="24"/>
              </w:rPr>
              <w:t>, weakness, headache, chills</w:t>
            </w:r>
          </w:p>
          <w:p w14:paraId="634FFEAE" w14:textId="7CEF58A5" w:rsidR="00744F70" w:rsidRPr="000F5A70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Watering, itchy eyes</w:t>
            </w:r>
          </w:p>
          <w:p w14:paraId="0EEA47F6" w14:textId="254ED35B" w:rsidR="00744F70" w:rsidRPr="000126A5" w:rsidRDefault="00744F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Rash, itching</w:t>
            </w:r>
          </w:p>
          <w:p w14:paraId="671CDE70" w14:textId="421EF47C" w:rsidR="00AC3176" w:rsidRDefault="000F5A70" w:rsidP="00AC31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Change in nails</w:t>
            </w:r>
          </w:p>
          <w:p w14:paraId="479F76C1" w14:textId="46A6E860" w:rsidR="003E7ABE" w:rsidRPr="00AC3176" w:rsidRDefault="00AC3176" w:rsidP="00AC31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2D2716BA" w14:textId="77777777" w:rsidR="00292DC1" w:rsidRPr="00F60434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0126A5" w14:paraId="566D2848" w14:textId="77777777" w:rsidTr="003203DB">
        <w:trPr>
          <w:cantSplit/>
          <w:tblHeader/>
        </w:trPr>
        <w:tc>
          <w:tcPr>
            <w:tcW w:w="10656" w:type="dxa"/>
          </w:tcPr>
          <w:p w14:paraId="4F9FB144" w14:textId="77777777" w:rsidR="00B5494F" w:rsidRPr="00285051" w:rsidRDefault="00B5494F" w:rsidP="000126A5">
            <w:pPr>
              <w:jc w:val="center"/>
              <w:rPr>
                <w:rStyle w:val="Strong"/>
              </w:rPr>
            </w:pPr>
            <w:r w:rsidRPr="00285051">
              <w:rPr>
                <w:rStyle w:val="Strong"/>
              </w:rPr>
              <w:t>OCCASIONAL, SOME MAY BE SERIOUS</w:t>
            </w:r>
          </w:p>
          <w:p w14:paraId="3C60536C" w14:textId="77777777" w:rsidR="00704B3C" w:rsidRPr="000126A5" w:rsidRDefault="00B5494F" w:rsidP="00012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 xml:space="preserve">In 100 people receiving Docetaxel, </w:t>
            </w:r>
            <w:r w:rsidR="003E7ABE" w:rsidRPr="008F4F6C">
              <w:rPr>
                <w:rFonts w:ascii="Times New Roman" w:hAnsi="Times New Roman"/>
                <w:sz w:val="24"/>
                <w:szCs w:val="24"/>
              </w:rPr>
              <w:t xml:space="preserve">Irinotecan, 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from 4 to 20 may have:</w:t>
            </w:r>
          </w:p>
        </w:tc>
      </w:tr>
      <w:tr w:rsidR="009451C5" w:rsidRPr="000126A5" w14:paraId="37C9A543" w14:textId="77777777" w:rsidTr="003203DB">
        <w:trPr>
          <w:cantSplit/>
        </w:trPr>
        <w:tc>
          <w:tcPr>
            <w:tcW w:w="10656" w:type="dxa"/>
          </w:tcPr>
          <w:p w14:paraId="48B97006" w14:textId="77777777" w:rsidR="0024618F" w:rsidRPr="000126A5" w:rsidRDefault="0024618F" w:rsidP="0024618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Abnormal heart rate</w:t>
            </w:r>
          </w:p>
          <w:p w14:paraId="0D0B721F" w14:textId="77777777" w:rsidR="0024618F" w:rsidRDefault="0024618F" w:rsidP="0024618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Chest p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ain</w:t>
            </w:r>
          </w:p>
          <w:p w14:paraId="529128FB" w14:textId="57C2B763" w:rsidR="000F5A70" w:rsidRPr="008F4F6C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Low blood pressure which may cause feeling faint</w:t>
            </w:r>
          </w:p>
          <w:p w14:paraId="34AF2806" w14:textId="38900A55" w:rsidR="00744F70" w:rsidRPr="00AC3176" w:rsidRDefault="000F5A70" w:rsidP="00AC31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Scarring of the lungs which may cause shortness of breath</w:t>
            </w:r>
          </w:p>
          <w:p w14:paraId="2032E86F" w14:textId="73557F91" w:rsidR="000F5A70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F4F6C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111CE441" w14:textId="69E1227A" w:rsidR="000F5A70" w:rsidRPr="000126A5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Blood clot which may cause swelling, pain, shortness of breath</w:t>
            </w:r>
          </w:p>
          <w:p w14:paraId="3E9F4E2A" w14:textId="39737AA1" w:rsidR="00744F70" w:rsidRPr="000126A5" w:rsidRDefault="00744F70" w:rsidP="000126A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Liver damage which may cause yellowing of eyes and skin</w:t>
            </w:r>
            <w:r w:rsidR="00B45A0F">
              <w:rPr>
                <w:rFonts w:ascii="Times New Roman" w:hAnsi="Times New Roman"/>
                <w:sz w:val="24"/>
                <w:szCs w:val="24"/>
              </w:rPr>
              <w:t>, swelling</w:t>
            </w:r>
          </w:p>
          <w:p w14:paraId="2863EED9" w14:textId="67713262" w:rsidR="00B45A0F" w:rsidRPr="00AC3176" w:rsidRDefault="000F5A70" w:rsidP="00AC3176">
            <w:pPr>
              <w:pStyle w:val="ListParagraph"/>
              <w:numPr>
                <w:ilvl w:val="0"/>
                <w:numId w:val="10"/>
              </w:numPr>
              <w:ind w:left="165" w:hanging="165"/>
            </w:pPr>
            <w:r w:rsidRPr="00ED3514">
              <w:t>Numbness, pain, and/or tingling of the arms and legs, fingers, and/or toes</w:t>
            </w:r>
          </w:p>
          <w:p w14:paraId="1744FA8C" w14:textId="14722790" w:rsidR="00B45A0F" w:rsidRPr="00AC3176" w:rsidRDefault="00B45A0F" w:rsidP="00AC31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656819A7" w14:textId="69C98F97" w:rsidR="000F5A70" w:rsidRDefault="000F5A70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Heartburn, passing gas</w:t>
            </w:r>
          </w:p>
          <w:p w14:paraId="7403354A" w14:textId="4B645E45" w:rsidR="000F5A70" w:rsidRDefault="00B45A0F" w:rsidP="000F5A70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  <w:p w14:paraId="52704310" w14:textId="376A63A0" w:rsidR="00ED3514" w:rsidRPr="00AC3176" w:rsidRDefault="000F5A70" w:rsidP="00AC3176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</w:tc>
      </w:tr>
    </w:tbl>
    <w:p w14:paraId="4DD5DD1F" w14:textId="77777777" w:rsidR="00292DC1" w:rsidRPr="00F60434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0126A5" w14:paraId="24698AFE" w14:textId="77777777" w:rsidTr="003203DB">
        <w:trPr>
          <w:cantSplit/>
          <w:tblHeader/>
        </w:trPr>
        <w:tc>
          <w:tcPr>
            <w:tcW w:w="10656" w:type="dxa"/>
          </w:tcPr>
          <w:p w14:paraId="2090C9AD" w14:textId="77777777" w:rsidR="00B5494F" w:rsidRPr="00285051" w:rsidRDefault="00B5494F" w:rsidP="000126A5">
            <w:pPr>
              <w:jc w:val="center"/>
              <w:rPr>
                <w:rStyle w:val="Strong"/>
              </w:rPr>
            </w:pPr>
            <w:r w:rsidRPr="00285051">
              <w:rPr>
                <w:rStyle w:val="Strong"/>
              </w:rPr>
              <w:t>RARE, AND SERIOUS</w:t>
            </w:r>
          </w:p>
          <w:p w14:paraId="6D95BC66" w14:textId="77777777" w:rsidR="00704B3C" w:rsidRPr="000126A5" w:rsidRDefault="00B5494F" w:rsidP="00012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 xml:space="preserve">In 100 people receiving Docetaxel, </w:t>
            </w:r>
            <w:r w:rsidR="003E7ABE" w:rsidRPr="008F4F6C">
              <w:rPr>
                <w:rFonts w:ascii="Times New Roman" w:hAnsi="Times New Roman"/>
                <w:sz w:val="24"/>
                <w:szCs w:val="24"/>
              </w:rPr>
              <w:t xml:space="preserve">Irinotecan, 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0126A5" w14:paraId="02818C6B" w14:textId="77777777" w:rsidTr="003203DB">
        <w:trPr>
          <w:cantSplit/>
        </w:trPr>
        <w:tc>
          <w:tcPr>
            <w:tcW w:w="10656" w:type="dxa"/>
          </w:tcPr>
          <w:p w14:paraId="7E06788E" w14:textId="368D30D3" w:rsidR="00B658C6" w:rsidRDefault="003203DB" w:rsidP="000126A5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of the bone marrow, caused by chemotherapy, which may lead to cancer of the bone marrow (leukemia)</w:t>
            </w:r>
          </w:p>
          <w:p w14:paraId="594BE110" w14:textId="7E183892" w:rsidR="00B45A0F" w:rsidRPr="000126A5" w:rsidRDefault="00B45A0F" w:rsidP="00B45A0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126A5">
              <w:rPr>
                <w:rFonts w:ascii="Times New Roman" w:hAnsi="Times New Roman"/>
                <w:sz w:val="24"/>
                <w:szCs w:val="24"/>
              </w:rPr>
              <w:t>Kidney da</w:t>
            </w:r>
            <w:r>
              <w:rPr>
                <w:rFonts w:ascii="Times New Roman" w:hAnsi="Times New Roman"/>
                <w:sz w:val="24"/>
                <w:szCs w:val="24"/>
              </w:rPr>
              <w:t>mage which may cause swelling, may require dialysis</w:t>
            </w:r>
          </w:p>
          <w:p w14:paraId="00060885" w14:textId="023F4755" w:rsidR="00B45A0F" w:rsidRPr="000126A5" w:rsidRDefault="00B45A0F" w:rsidP="005B647A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evere skin rash with blisters and peeling which 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 involve inside of mouth </w:t>
            </w:r>
            <w:r w:rsidRPr="000126A5">
              <w:rPr>
                <w:rFonts w:ascii="Times New Roman" w:hAnsi="Times New Roman"/>
                <w:sz w:val="24"/>
                <w:szCs w:val="24"/>
              </w:rPr>
              <w:t>and other parts of the body</w:t>
            </w:r>
          </w:p>
        </w:tc>
      </w:tr>
    </w:tbl>
    <w:p w14:paraId="09394ABB" w14:textId="0B25BDDF" w:rsidR="006D5BFE" w:rsidRDefault="006D5BFE" w:rsidP="00F56E70">
      <w:pPr>
        <w:ind w:left="173"/>
        <w:jc w:val="left"/>
        <w:rPr>
          <w:rFonts w:ascii="Times New Roman" w:hAnsi="Times New Roman"/>
          <w:sz w:val="24"/>
          <w:szCs w:val="24"/>
        </w:rPr>
      </w:pPr>
      <w:r w:rsidRPr="00A25A06">
        <w:rPr>
          <w:rFonts w:ascii="Times New Roman" w:hAnsi="Times New Roman"/>
          <w:sz w:val="24"/>
          <w:szCs w:val="24"/>
        </w:rPr>
        <w:t>Patients should be aware that Docetaxel may cause them to become</w:t>
      </w:r>
      <w:r w:rsidRPr="00EC6BC4">
        <w:rPr>
          <w:rFonts w:ascii="Times New Roman" w:hAnsi="Times New Roman"/>
          <w:sz w:val="24"/>
          <w:szCs w:val="24"/>
        </w:rPr>
        <w:t xml:space="preserve"> intoxicated</w:t>
      </w:r>
      <w:r>
        <w:rPr>
          <w:rFonts w:ascii="Times New Roman" w:hAnsi="Times New Roman"/>
          <w:sz w:val="24"/>
          <w:szCs w:val="24"/>
        </w:rPr>
        <w:t xml:space="preserve"> from the alcohol it contains. </w:t>
      </w:r>
      <w:r w:rsidRPr="00EC6BC4">
        <w:rPr>
          <w:rFonts w:ascii="Times New Roman" w:hAnsi="Times New Roman"/>
          <w:sz w:val="24"/>
          <w:szCs w:val="24"/>
        </w:rPr>
        <w:t>Patients should avoid driving, operating machinery, or performing other activities that are dangerous within one to t</w:t>
      </w:r>
      <w:r>
        <w:rPr>
          <w:rFonts w:ascii="Times New Roman" w:hAnsi="Times New Roman"/>
          <w:sz w:val="24"/>
          <w:szCs w:val="24"/>
        </w:rPr>
        <w:t>wo hours after the infusion of D</w:t>
      </w:r>
      <w:r w:rsidRPr="00EC6BC4">
        <w:rPr>
          <w:rFonts w:ascii="Times New Roman" w:hAnsi="Times New Roman"/>
          <w:sz w:val="24"/>
          <w:szCs w:val="24"/>
        </w:rPr>
        <w:t>ocetaxel.  In addition, some medications, such as pain relievers and sleep aids, may in</w:t>
      </w:r>
      <w:r>
        <w:rPr>
          <w:rFonts w:ascii="Times New Roman" w:hAnsi="Times New Roman"/>
          <w:sz w:val="24"/>
          <w:szCs w:val="24"/>
        </w:rPr>
        <w:t>teract with the alcohol in the D</w:t>
      </w:r>
      <w:r w:rsidRPr="00EC6BC4">
        <w:rPr>
          <w:rFonts w:ascii="Times New Roman" w:hAnsi="Times New Roman"/>
          <w:sz w:val="24"/>
          <w:szCs w:val="24"/>
        </w:rPr>
        <w:t>ocetaxel infusion and worsen the intoxicating effects.</w:t>
      </w:r>
    </w:p>
    <w:p w14:paraId="41F1C6BD" w14:textId="77777777" w:rsidR="0024618F" w:rsidRPr="00F60434" w:rsidRDefault="0024618F" w:rsidP="00F56E70">
      <w:pPr>
        <w:ind w:left="173"/>
        <w:jc w:val="left"/>
        <w:rPr>
          <w:rFonts w:ascii="Times New Roman" w:hAnsi="Times New Roman"/>
          <w:sz w:val="24"/>
          <w:szCs w:val="24"/>
        </w:rPr>
      </w:pPr>
    </w:p>
    <w:sectPr w:rsidR="0024618F" w:rsidRPr="00F60434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F16D" w14:textId="77777777" w:rsidR="006A0799" w:rsidRDefault="006A0799" w:rsidP="00D616D5">
      <w:r>
        <w:separator/>
      </w:r>
    </w:p>
  </w:endnote>
  <w:endnote w:type="continuationSeparator" w:id="0">
    <w:p w14:paraId="6C785B70" w14:textId="77777777" w:rsidR="006A0799" w:rsidRDefault="006A0799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C58E3" w14:textId="77777777" w:rsidR="00D035DD" w:rsidRDefault="00D035DD" w:rsidP="00C23B35">
    <w:pPr>
      <w:pStyle w:val="Footer"/>
      <w:jc w:val="center"/>
      <w:rPr>
        <w:sz w:val="18"/>
      </w:rPr>
    </w:pPr>
    <w:r w:rsidRPr="00F60434">
      <w:rPr>
        <w:rFonts w:ascii="Times New Roman" w:hAnsi="Times New Roman"/>
        <w:sz w:val="24"/>
        <w:szCs w:val="24"/>
      </w:rPr>
      <w:t xml:space="preserve">Page </w:t>
    </w:r>
    <w:r w:rsidR="00401F43" w:rsidRPr="00F60434">
      <w:rPr>
        <w:rFonts w:ascii="Times New Roman" w:hAnsi="Times New Roman"/>
        <w:b/>
        <w:sz w:val="24"/>
        <w:szCs w:val="24"/>
      </w:rPr>
      <w:fldChar w:fldCharType="begin"/>
    </w:r>
    <w:r w:rsidRPr="00F60434">
      <w:rPr>
        <w:rFonts w:ascii="Times New Roman" w:hAnsi="Times New Roman"/>
        <w:b/>
        <w:sz w:val="24"/>
        <w:szCs w:val="24"/>
      </w:rPr>
      <w:instrText xml:space="preserve"> PAGE </w:instrText>
    </w:r>
    <w:r w:rsidR="00401F43" w:rsidRPr="00F60434">
      <w:rPr>
        <w:rFonts w:ascii="Times New Roman" w:hAnsi="Times New Roman"/>
        <w:b/>
        <w:sz w:val="24"/>
        <w:szCs w:val="24"/>
      </w:rPr>
      <w:fldChar w:fldCharType="separate"/>
    </w:r>
    <w:r w:rsidR="00872D0C">
      <w:rPr>
        <w:rFonts w:ascii="Times New Roman" w:hAnsi="Times New Roman"/>
        <w:b/>
        <w:noProof/>
        <w:sz w:val="24"/>
        <w:szCs w:val="24"/>
      </w:rPr>
      <w:t>1</w:t>
    </w:r>
    <w:r w:rsidR="00401F43" w:rsidRPr="00F60434">
      <w:rPr>
        <w:rFonts w:ascii="Times New Roman" w:hAnsi="Times New Roman"/>
        <w:b/>
        <w:sz w:val="24"/>
        <w:szCs w:val="24"/>
      </w:rPr>
      <w:fldChar w:fldCharType="end"/>
    </w:r>
    <w:r w:rsidRPr="00F60434">
      <w:rPr>
        <w:rFonts w:ascii="Times New Roman" w:hAnsi="Times New Roman"/>
        <w:sz w:val="24"/>
        <w:szCs w:val="24"/>
      </w:rPr>
      <w:t xml:space="preserve"> of </w:t>
    </w:r>
    <w:r w:rsidR="00401F43" w:rsidRPr="00F60434">
      <w:rPr>
        <w:rFonts w:ascii="Times New Roman" w:hAnsi="Times New Roman"/>
        <w:b/>
        <w:sz w:val="24"/>
        <w:szCs w:val="24"/>
      </w:rPr>
      <w:fldChar w:fldCharType="begin"/>
    </w:r>
    <w:r w:rsidRPr="00F60434">
      <w:rPr>
        <w:rFonts w:ascii="Times New Roman" w:hAnsi="Times New Roman"/>
        <w:b/>
        <w:sz w:val="24"/>
        <w:szCs w:val="24"/>
      </w:rPr>
      <w:instrText xml:space="preserve"> NUMPAGES  </w:instrText>
    </w:r>
    <w:r w:rsidR="00401F43" w:rsidRPr="00F60434">
      <w:rPr>
        <w:rFonts w:ascii="Times New Roman" w:hAnsi="Times New Roman"/>
        <w:b/>
        <w:sz w:val="24"/>
        <w:szCs w:val="24"/>
      </w:rPr>
      <w:fldChar w:fldCharType="separate"/>
    </w:r>
    <w:r w:rsidR="00872D0C">
      <w:rPr>
        <w:rFonts w:ascii="Times New Roman" w:hAnsi="Times New Roman"/>
        <w:b/>
        <w:noProof/>
        <w:sz w:val="24"/>
        <w:szCs w:val="24"/>
      </w:rPr>
      <w:t>1</w:t>
    </w:r>
    <w:r w:rsidR="00401F43" w:rsidRPr="00F60434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A2417" w14:textId="77777777" w:rsidR="006A0799" w:rsidRDefault="006A0799" w:rsidP="00D616D5">
      <w:r>
        <w:separator/>
      </w:r>
    </w:p>
  </w:footnote>
  <w:footnote w:type="continuationSeparator" w:id="0">
    <w:p w14:paraId="5B0416F3" w14:textId="77777777" w:rsidR="006A0799" w:rsidRDefault="006A0799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F7088"/>
    <w:multiLevelType w:val="hybridMultilevel"/>
    <w:tmpl w:val="E4FC5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67627"/>
    <w:multiLevelType w:val="hybridMultilevel"/>
    <w:tmpl w:val="ED8E1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B2DE5"/>
    <w:multiLevelType w:val="hybridMultilevel"/>
    <w:tmpl w:val="EBF6E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6B2D50"/>
    <w:multiLevelType w:val="hybridMultilevel"/>
    <w:tmpl w:val="2DBC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6"/>
  </w:num>
  <w:num w:numId="9">
    <w:abstractNumId w:val="13"/>
  </w:num>
  <w:num w:numId="10">
    <w:abstractNumId w:val="4"/>
  </w:num>
  <w:num w:numId="11">
    <w:abstractNumId w:val="11"/>
  </w:num>
  <w:num w:numId="12">
    <w:abstractNumId w:val="10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26A5"/>
    <w:rsid w:val="000157AF"/>
    <w:rsid w:val="000231D7"/>
    <w:rsid w:val="0004492D"/>
    <w:rsid w:val="0005233A"/>
    <w:rsid w:val="00062F3E"/>
    <w:rsid w:val="00064F30"/>
    <w:rsid w:val="00071F39"/>
    <w:rsid w:val="00077F92"/>
    <w:rsid w:val="000A4D66"/>
    <w:rsid w:val="000A7BA2"/>
    <w:rsid w:val="000B5D68"/>
    <w:rsid w:val="000C0616"/>
    <w:rsid w:val="000E3212"/>
    <w:rsid w:val="000E3C1B"/>
    <w:rsid w:val="000E3D97"/>
    <w:rsid w:val="000F2182"/>
    <w:rsid w:val="000F5A70"/>
    <w:rsid w:val="00140780"/>
    <w:rsid w:val="00146229"/>
    <w:rsid w:val="00162D4A"/>
    <w:rsid w:val="00174A11"/>
    <w:rsid w:val="00175EF2"/>
    <w:rsid w:val="0018015E"/>
    <w:rsid w:val="001853E9"/>
    <w:rsid w:val="001B6CF8"/>
    <w:rsid w:val="001B7937"/>
    <w:rsid w:val="001E4D12"/>
    <w:rsid w:val="001F377B"/>
    <w:rsid w:val="001F70ED"/>
    <w:rsid w:val="001F7FDC"/>
    <w:rsid w:val="0021183C"/>
    <w:rsid w:val="00213C67"/>
    <w:rsid w:val="00217817"/>
    <w:rsid w:val="00220220"/>
    <w:rsid w:val="00227765"/>
    <w:rsid w:val="002459C9"/>
    <w:rsid w:val="0024618F"/>
    <w:rsid w:val="00254B61"/>
    <w:rsid w:val="00285051"/>
    <w:rsid w:val="00290B6D"/>
    <w:rsid w:val="00292DC1"/>
    <w:rsid w:val="00296F67"/>
    <w:rsid w:val="002B7387"/>
    <w:rsid w:val="002E2B91"/>
    <w:rsid w:val="002E3761"/>
    <w:rsid w:val="002E5788"/>
    <w:rsid w:val="002E632B"/>
    <w:rsid w:val="002E64C6"/>
    <w:rsid w:val="00300666"/>
    <w:rsid w:val="00302965"/>
    <w:rsid w:val="00311215"/>
    <w:rsid w:val="00311BA9"/>
    <w:rsid w:val="003203DB"/>
    <w:rsid w:val="00320B9B"/>
    <w:rsid w:val="00322991"/>
    <w:rsid w:val="003300F1"/>
    <w:rsid w:val="00340585"/>
    <w:rsid w:val="00342AF1"/>
    <w:rsid w:val="00344835"/>
    <w:rsid w:val="00347FDF"/>
    <w:rsid w:val="0035739C"/>
    <w:rsid w:val="00362676"/>
    <w:rsid w:val="003639F2"/>
    <w:rsid w:val="0037281F"/>
    <w:rsid w:val="00372EEB"/>
    <w:rsid w:val="0037627B"/>
    <w:rsid w:val="003A4292"/>
    <w:rsid w:val="003B4930"/>
    <w:rsid w:val="003C24FC"/>
    <w:rsid w:val="003D1820"/>
    <w:rsid w:val="003E03C6"/>
    <w:rsid w:val="003E7ABE"/>
    <w:rsid w:val="003E7BC2"/>
    <w:rsid w:val="003F64FA"/>
    <w:rsid w:val="0040178D"/>
    <w:rsid w:val="00401F43"/>
    <w:rsid w:val="00406BC9"/>
    <w:rsid w:val="004070D8"/>
    <w:rsid w:val="00412D57"/>
    <w:rsid w:val="0041485D"/>
    <w:rsid w:val="00421B14"/>
    <w:rsid w:val="0043305B"/>
    <w:rsid w:val="00433260"/>
    <w:rsid w:val="00437AFD"/>
    <w:rsid w:val="00453117"/>
    <w:rsid w:val="00460EAA"/>
    <w:rsid w:val="00490446"/>
    <w:rsid w:val="004947FE"/>
    <w:rsid w:val="004B473F"/>
    <w:rsid w:val="004D257E"/>
    <w:rsid w:val="004E2090"/>
    <w:rsid w:val="004F2A80"/>
    <w:rsid w:val="004F4E69"/>
    <w:rsid w:val="005169CE"/>
    <w:rsid w:val="00517BB4"/>
    <w:rsid w:val="005248B0"/>
    <w:rsid w:val="005250B8"/>
    <w:rsid w:val="00525D15"/>
    <w:rsid w:val="00531C53"/>
    <w:rsid w:val="0053603B"/>
    <w:rsid w:val="005526E0"/>
    <w:rsid w:val="0058001F"/>
    <w:rsid w:val="0059666C"/>
    <w:rsid w:val="005A7FC2"/>
    <w:rsid w:val="005B0FD7"/>
    <w:rsid w:val="005B21A6"/>
    <w:rsid w:val="005B23D0"/>
    <w:rsid w:val="005B647A"/>
    <w:rsid w:val="005C5846"/>
    <w:rsid w:val="005E697B"/>
    <w:rsid w:val="00603326"/>
    <w:rsid w:val="006165AA"/>
    <w:rsid w:val="0062175A"/>
    <w:rsid w:val="00635A3B"/>
    <w:rsid w:val="00640A3D"/>
    <w:rsid w:val="00650D65"/>
    <w:rsid w:val="006518DB"/>
    <w:rsid w:val="006676FF"/>
    <w:rsid w:val="00675B40"/>
    <w:rsid w:val="006813CF"/>
    <w:rsid w:val="00682F5A"/>
    <w:rsid w:val="00690580"/>
    <w:rsid w:val="006916A7"/>
    <w:rsid w:val="006A0799"/>
    <w:rsid w:val="006C0E23"/>
    <w:rsid w:val="006C252B"/>
    <w:rsid w:val="006C34B7"/>
    <w:rsid w:val="006D2E77"/>
    <w:rsid w:val="006D5BFE"/>
    <w:rsid w:val="006E55A0"/>
    <w:rsid w:val="006E5A11"/>
    <w:rsid w:val="006E6422"/>
    <w:rsid w:val="006F1FEB"/>
    <w:rsid w:val="00704B3C"/>
    <w:rsid w:val="00715981"/>
    <w:rsid w:val="00720892"/>
    <w:rsid w:val="00744F70"/>
    <w:rsid w:val="00747F78"/>
    <w:rsid w:val="007528F5"/>
    <w:rsid w:val="00764128"/>
    <w:rsid w:val="00784C65"/>
    <w:rsid w:val="007879BD"/>
    <w:rsid w:val="00795A56"/>
    <w:rsid w:val="007A32EA"/>
    <w:rsid w:val="007A33AD"/>
    <w:rsid w:val="007B04C0"/>
    <w:rsid w:val="007B5F6F"/>
    <w:rsid w:val="007C72AC"/>
    <w:rsid w:val="007D4757"/>
    <w:rsid w:val="007F1BFE"/>
    <w:rsid w:val="00804A2C"/>
    <w:rsid w:val="00804A57"/>
    <w:rsid w:val="00872D0C"/>
    <w:rsid w:val="008761ED"/>
    <w:rsid w:val="0089035C"/>
    <w:rsid w:val="00890573"/>
    <w:rsid w:val="0089290F"/>
    <w:rsid w:val="00896C32"/>
    <w:rsid w:val="008A549F"/>
    <w:rsid w:val="008B04F0"/>
    <w:rsid w:val="008B37F8"/>
    <w:rsid w:val="008C2248"/>
    <w:rsid w:val="009113C1"/>
    <w:rsid w:val="009250EC"/>
    <w:rsid w:val="00931646"/>
    <w:rsid w:val="00936995"/>
    <w:rsid w:val="009451C5"/>
    <w:rsid w:val="00981790"/>
    <w:rsid w:val="00990815"/>
    <w:rsid w:val="009C48E2"/>
    <w:rsid w:val="009D1A07"/>
    <w:rsid w:val="009E3311"/>
    <w:rsid w:val="009E56C7"/>
    <w:rsid w:val="00A0453F"/>
    <w:rsid w:val="00A0718F"/>
    <w:rsid w:val="00A22015"/>
    <w:rsid w:val="00A366D5"/>
    <w:rsid w:val="00A60344"/>
    <w:rsid w:val="00A70D91"/>
    <w:rsid w:val="00A77C12"/>
    <w:rsid w:val="00A87D3D"/>
    <w:rsid w:val="00AB724B"/>
    <w:rsid w:val="00AC3176"/>
    <w:rsid w:val="00AD2CF9"/>
    <w:rsid w:val="00AD55BA"/>
    <w:rsid w:val="00AD648B"/>
    <w:rsid w:val="00AD7352"/>
    <w:rsid w:val="00AE185D"/>
    <w:rsid w:val="00AE4F25"/>
    <w:rsid w:val="00B30CFF"/>
    <w:rsid w:val="00B43295"/>
    <w:rsid w:val="00B43E23"/>
    <w:rsid w:val="00B45A0F"/>
    <w:rsid w:val="00B5494F"/>
    <w:rsid w:val="00B658C6"/>
    <w:rsid w:val="00B67DBC"/>
    <w:rsid w:val="00BA27DE"/>
    <w:rsid w:val="00BA6478"/>
    <w:rsid w:val="00BB58D2"/>
    <w:rsid w:val="00BC0303"/>
    <w:rsid w:val="00BC1CEF"/>
    <w:rsid w:val="00BE223D"/>
    <w:rsid w:val="00C018F2"/>
    <w:rsid w:val="00C07A39"/>
    <w:rsid w:val="00C1216C"/>
    <w:rsid w:val="00C1454B"/>
    <w:rsid w:val="00C23B35"/>
    <w:rsid w:val="00C37EFF"/>
    <w:rsid w:val="00C71E7F"/>
    <w:rsid w:val="00C83D59"/>
    <w:rsid w:val="00C97834"/>
    <w:rsid w:val="00CA64D5"/>
    <w:rsid w:val="00CC095B"/>
    <w:rsid w:val="00CC7716"/>
    <w:rsid w:val="00CC7B47"/>
    <w:rsid w:val="00CD1D85"/>
    <w:rsid w:val="00CF566C"/>
    <w:rsid w:val="00D035DD"/>
    <w:rsid w:val="00D04FFE"/>
    <w:rsid w:val="00D066CC"/>
    <w:rsid w:val="00D125FC"/>
    <w:rsid w:val="00D135EC"/>
    <w:rsid w:val="00D13FF8"/>
    <w:rsid w:val="00D148A5"/>
    <w:rsid w:val="00D14E01"/>
    <w:rsid w:val="00D17AEE"/>
    <w:rsid w:val="00D252D8"/>
    <w:rsid w:val="00D47126"/>
    <w:rsid w:val="00D50973"/>
    <w:rsid w:val="00D5162C"/>
    <w:rsid w:val="00D53134"/>
    <w:rsid w:val="00D60DE2"/>
    <w:rsid w:val="00D616D5"/>
    <w:rsid w:val="00D85DA8"/>
    <w:rsid w:val="00D94896"/>
    <w:rsid w:val="00D950E2"/>
    <w:rsid w:val="00DA0A81"/>
    <w:rsid w:val="00DA313C"/>
    <w:rsid w:val="00DC2DF7"/>
    <w:rsid w:val="00E020A2"/>
    <w:rsid w:val="00E105AB"/>
    <w:rsid w:val="00E10D6B"/>
    <w:rsid w:val="00E30392"/>
    <w:rsid w:val="00E4554B"/>
    <w:rsid w:val="00E535EA"/>
    <w:rsid w:val="00E708C8"/>
    <w:rsid w:val="00E73A58"/>
    <w:rsid w:val="00E77AFB"/>
    <w:rsid w:val="00E93BC1"/>
    <w:rsid w:val="00EB1B2D"/>
    <w:rsid w:val="00EB2782"/>
    <w:rsid w:val="00ED3514"/>
    <w:rsid w:val="00EF6A8F"/>
    <w:rsid w:val="00EF6E44"/>
    <w:rsid w:val="00F053F4"/>
    <w:rsid w:val="00F265AB"/>
    <w:rsid w:val="00F32DF8"/>
    <w:rsid w:val="00F33F90"/>
    <w:rsid w:val="00F40893"/>
    <w:rsid w:val="00F54A02"/>
    <w:rsid w:val="00F56E70"/>
    <w:rsid w:val="00F60434"/>
    <w:rsid w:val="00FA0CB1"/>
    <w:rsid w:val="00FC5C60"/>
    <w:rsid w:val="00FE502C"/>
    <w:rsid w:val="00FE7788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C6DD"/>
  <w15:chartTrackingRefBased/>
  <w15:docId w15:val="{898705F9-D43C-48BB-878F-B005B8B7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1BA9"/>
    <w:pPr>
      <w:jc w:val="left"/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11BA9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85051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59FF566-E7D2-46F1-A977-C68537BE9FF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3BB8597-FB5A-44C3-ADC9-9AD0748A2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Docetaxel, Irinotecan</vt:lpstr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Docetaxel, Irinotecan</dc:title>
  <dc:subject>Possible Side Effects of Docetaxel, Irinotecan</dc:subject>
  <dc:creator>HHS/DCTD/CTEP</dc:creator>
  <cp:keywords>Possible Side Effects, Docetaxel, Irinotecan</cp:keywords>
  <cp:lastModifiedBy>Williams, Christopher (NIH/NCI) [C]</cp:lastModifiedBy>
  <cp:revision>2</cp:revision>
  <cp:lastPrinted>2011-11-22T20:54:00Z</cp:lastPrinted>
  <dcterms:created xsi:type="dcterms:W3CDTF">2022-04-22T15:46:00Z</dcterms:created>
  <dcterms:modified xsi:type="dcterms:W3CDTF">2022-04-22T15:46:00Z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