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11001" w:rsidRPr="00711001" w14:paraId="2058A906" w14:textId="77777777" w:rsidTr="00A636D9">
        <w:tc>
          <w:tcPr>
            <w:tcW w:w="9350" w:type="dxa"/>
            <w:shd w:val="clear" w:color="auto" w:fill="FFFF00"/>
          </w:tcPr>
          <w:p w14:paraId="10C0479E" w14:textId="77777777" w:rsidR="00711001" w:rsidRPr="00711001" w:rsidRDefault="00711001" w:rsidP="00711001">
            <w:pPr>
              <w:jc w:val="center"/>
              <w:rPr>
                <w:b/>
                <w:bCs/>
              </w:rPr>
            </w:pPr>
            <w:r w:rsidRPr="00711001">
              <w:rPr>
                <w:b/>
                <w:bCs/>
              </w:rPr>
              <w:t>Please Note: These side effect tables for commercial agents are provided as a resource for research staff. This document is not approved by the NCI CIRB as a patient information sheet for use in conjunction with a clinical trial.</w:t>
            </w:r>
          </w:p>
          <w:p w14:paraId="3B883757" w14:textId="77777777" w:rsidR="00711001" w:rsidRPr="00711001" w:rsidRDefault="00711001" w:rsidP="00711001">
            <w:pPr>
              <w:jc w:val="center"/>
            </w:pPr>
            <w:r w:rsidRPr="00711001">
              <w:t>Only use these tables as Patient Educational Materials for a clinical trial if the IRB of record for the specific trial has reviewed and approved them for that purpose.</w:t>
            </w:r>
          </w:p>
          <w:p w14:paraId="73BFCE42" w14:textId="77777777" w:rsidR="00711001" w:rsidRPr="00711001" w:rsidRDefault="00711001" w:rsidP="00711001">
            <w:pPr>
              <w:jc w:val="center"/>
            </w:pPr>
            <w:r w:rsidRPr="00711001">
              <w:t>US sites participating in CTEP-supported clinical trial networks can find protocol-specific NCI CIRB-approved patient educational materials on the protocol page on the CTSU website.</w:t>
            </w:r>
          </w:p>
        </w:tc>
      </w:tr>
    </w:tbl>
    <w:p w14:paraId="04590627" w14:textId="77777777" w:rsidR="00711001" w:rsidRPr="00711001" w:rsidRDefault="00711001" w:rsidP="00711001"/>
    <w:p w14:paraId="664DB7C5" w14:textId="6394C520" w:rsidR="00711001" w:rsidRPr="00711001" w:rsidRDefault="00711001" w:rsidP="00711001">
      <w:pPr>
        <w:pStyle w:val="Heading1"/>
      </w:pPr>
      <w:bookmarkStart w:id="0" w:name="_Hlk216182949"/>
      <w:r w:rsidRPr="00711001">
        <w:t xml:space="preserve">Possible Side Effects of Blinatumomab (Table Version Date: </w:t>
      </w:r>
      <w:r>
        <w:t>November</w:t>
      </w:r>
      <w:r w:rsidRPr="00711001">
        <w:t xml:space="preserve"> </w:t>
      </w:r>
      <w:r>
        <w:t>13</w:t>
      </w:r>
      <w:r w:rsidRPr="00711001">
        <w:t>, 2025)</w:t>
      </w:r>
    </w:p>
    <w:bookmarkEnd w:id="0"/>
    <w:p w14:paraId="4E8FE3D9" w14:textId="77777777" w:rsidR="00711001" w:rsidRPr="00711001" w:rsidRDefault="00711001" w:rsidP="00711001">
      <w:r w:rsidRPr="00711001">
        <w:t>These side effect tables for standard cancer therapies are provided as a resource. Look at the prescribing information or FDA package insert for the most complete and up-to-date information.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A39AB" w14:paraId="7CF079C5" w14:textId="77777777" w:rsidTr="004A39AB">
        <w:trPr>
          <w:cantSplit/>
          <w:tblHeader/>
        </w:trPr>
        <w:tc>
          <w:tcPr>
            <w:tcW w:w="9350" w:type="dxa"/>
          </w:tcPr>
          <w:p w14:paraId="39EC781E" w14:textId="6038AA02" w:rsidR="004A39AB" w:rsidRPr="00CF48CE" w:rsidRDefault="001A6E81" w:rsidP="004A39AB">
            <w:pPr>
              <w:spacing w:after="0"/>
              <w:jc w:val="center"/>
              <w:rPr>
                <w:rStyle w:val="Strong"/>
              </w:rPr>
            </w:pPr>
            <w:bookmarkStart w:id="1" w:name="_Hlk195280665"/>
            <w:r w:rsidRPr="00CF48CE">
              <w:rPr>
                <w:rStyle w:val="Strong"/>
              </w:rPr>
              <w:t>Common side effects</w:t>
            </w:r>
            <w:r w:rsidR="00847E94" w:rsidRPr="00CF48CE">
              <w:rPr>
                <w:rStyle w:val="Strong"/>
              </w:rPr>
              <w:t xml:space="preserve"> (some may be serious)</w:t>
            </w:r>
          </w:p>
          <w:p w14:paraId="085D436E" w14:textId="3770705D" w:rsidR="004A39AB" w:rsidRPr="004A39AB" w:rsidRDefault="004A39AB" w:rsidP="004A39AB">
            <w:pPr>
              <w:spacing w:after="0"/>
              <w:jc w:val="center"/>
            </w:pPr>
            <w:r>
              <w:t xml:space="preserve">In 100 people receiving </w:t>
            </w:r>
            <w:r w:rsidR="008C78A8" w:rsidRPr="008C78A8">
              <w:t>Blinatumomab</w:t>
            </w:r>
            <w:r>
              <w:t>, more than 20 and up to 100 may have:</w:t>
            </w:r>
          </w:p>
        </w:tc>
      </w:tr>
      <w:tr w:rsidR="00D0685B" w14:paraId="3302E35E" w14:textId="77777777" w:rsidTr="004A39AB">
        <w:tc>
          <w:tcPr>
            <w:tcW w:w="9350" w:type="dxa"/>
          </w:tcPr>
          <w:p w14:paraId="7632FB41" w14:textId="77777777" w:rsidR="00D0685B" w:rsidRPr="00D0685B" w:rsidRDefault="00D0685B" w:rsidP="00D0685B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AE59F7">
              <w:t>Reaction during or following infusion of the drug which may cause fever, chills, rash, low blood pressure</w:t>
            </w:r>
            <w:r>
              <w:t>, swelling</w:t>
            </w:r>
          </w:p>
          <w:p w14:paraId="1CDDD092" w14:textId="33B587D1" w:rsidR="00D0685B" w:rsidRPr="00D0685B" w:rsidRDefault="00D0685B" w:rsidP="00D0685B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D96A22">
              <w:t>Infection, possibly in the blood, especially when white blood cell count is low</w:t>
            </w:r>
            <w:bookmarkStart w:id="2" w:name="_Ref209542653"/>
            <w:r w:rsidR="00B9246D">
              <w:rPr>
                <w:rStyle w:val="EndnoteReference"/>
              </w:rPr>
              <w:endnoteReference w:id="1"/>
            </w:r>
            <w:bookmarkEnd w:id="2"/>
          </w:p>
          <w:p w14:paraId="04973082" w14:textId="741AC297" w:rsidR="00D0685B" w:rsidRPr="00D0685B" w:rsidRDefault="00D0685B" w:rsidP="00D0685B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D96A22">
              <w:t>Anemia which may cause tiredness, or may require blood transfusion</w:t>
            </w:r>
            <w:r w:rsidR="00A8536B">
              <w:t>s</w:t>
            </w:r>
            <w:r w:rsidR="00A8536B">
              <w:fldChar w:fldCharType="begin"/>
            </w:r>
            <w:r w:rsidR="00A8536B">
              <w:instrText xml:space="preserve"> NOTEREF _Ref209542653 \f \h </w:instrText>
            </w:r>
            <w:r w:rsidR="00A8536B">
              <w:fldChar w:fldCharType="separate"/>
            </w:r>
            <w:r w:rsidR="00A8536B" w:rsidRPr="00A8536B">
              <w:rPr>
                <w:rStyle w:val="EndnoteReference"/>
              </w:rPr>
              <w:t>†</w:t>
            </w:r>
            <w:r w:rsidR="00A8536B">
              <w:fldChar w:fldCharType="end"/>
            </w:r>
          </w:p>
          <w:p w14:paraId="372C98EF" w14:textId="1CDCB319" w:rsidR="00D0685B" w:rsidRPr="00D0685B" w:rsidRDefault="00D0685B" w:rsidP="00D0685B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D96A22">
              <w:t>Bruising, bleeding</w:t>
            </w:r>
            <w:r w:rsidR="00A8536B">
              <w:fldChar w:fldCharType="begin"/>
            </w:r>
            <w:r w:rsidR="00A8536B">
              <w:instrText xml:space="preserve"> NOTEREF _Ref209542653 \f \h </w:instrText>
            </w:r>
            <w:r w:rsidR="00A8536B">
              <w:fldChar w:fldCharType="separate"/>
            </w:r>
            <w:r w:rsidR="00A8536B" w:rsidRPr="00A8536B">
              <w:rPr>
                <w:rStyle w:val="EndnoteReference"/>
              </w:rPr>
              <w:t>†</w:t>
            </w:r>
            <w:r w:rsidR="00A8536B">
              <w:fldChar w:fldCharType="end"/>
            </w:r>
          </w:p>
          <w:p w14:paraId="44F3DB05" w14:textId="77777777" w:rsidR="00D0685B" w:rsidRPr="00D0685B" w:rsidRDefault="00D0685B" w:rsidP="00D0685B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D96A22">
              <w:t>Nausea, diarrhea</w:t>
            </w:r>
          </w:p>
          <w:p w14:paraId="5A26329F" w14:textId="77777777" w:rsidR="00D0685B" w:rsidRPr="00D0685B" w:rsidRDefault="00D0685B" w:rsidP="00D0685B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D96A22">
              <w:t>Abnormal body movement (tremor)</w:t>
            </w:r>
          </w:p>
          <w:p w14:paraId="0670D582" w14:textId="77777777" w:rsidR="00D0685B" w:rsidRPr="00D0685B" w:rsidRDefault="00D0685B" w:rsidP="00D0685B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D96A22">
              <w:t>Headache</w:t>
            </w:r>
          </w:p>
          <w:p w14:paraId="31BB843D" w14:textId="77777777" w:rsidR="00D0685B" w:rsidRPr="00D0685B" w:rsidRDefault="00D0685B" w:rsidP="00D0685B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D96A22">
              <w:t>Pain</w:t>
            </w:r>
          </w:p>
          <w:p w14:paraId="01CCF1DA" w14:textId="77777777" w:rsidR="00D0685B" w:rsidRPr="00D0685B" w:rsidRDefault="00D0685B" w:rsidP="00D0685B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D96A22">
              <w:t>Fever</w:t>
            </w:r>
          </w:p>
          <w:p w14:paraId="307C7E37" w14:textId="2E66FBEF" w:rsidR="00D0685B" w:rsidRPr="00D0685B" w:rsidRDefault="00D0685B" w:rsidP="00F31B7A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Rash</w:t>
            </w:r>
          </w:p>
        </w:tc>
      </w:tr>
    </w:tbl>
    <w:p w14:paraId="2FC3904F" w14:textId="77777777" w:rsidR="004A39AB" w:rsidRPr="00D0685B" w:rsidRDefault="004A39AB" w:rsidP="00D0685B">
      <w:pPr>
        <w:spacing w:after="0"/>
        <w:ind w:left="173" w:hanging="173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A39AB" w14:paraId="6D2F73F4" w14:textId="77777777" w:rsidTr="004A39AB">
        <w:trPr>
          <w:cantSplit/>
          <w:tblHeader/>
        </w:trPr>
        <w:tc>
          <w:tcPr>
            <w:tcW w:w="9350" w:type="dxa"/>
          </w:tcPr>
          <w:p w14:paraId="0558D5C4" w14:textId="78DF076F" w:rsidR="004A39AB" w:rsidRDefault="001A6E81" w:rsidP="00105F93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Occasional side effects</w:t>
            </w:r>
            <w:r w:rsidR="00847E94">
              <w:rPr>
                <w:b/>
                <w:bCs/>
              </w:rPr>
              <w:t xml:space="preserve"> (some may be serious)</w:t>
            </w:r>
          </w:p>
          <w:p w14:paraId="3C0D818B" w14:textId="0709E82C" w:rsidR="004A39AB" w:rsidRPr="004A39AB" w:rsidRDefault="004A39AB" w:rsidP="00105F93">
            <w:pPr>
              <w:spacing w:after="0"/>
              <w:jc w:val="center"/>
            </w:pPr>
            <w:r>
              <w:t xml:space="preserve">In 100 people receiving </w:t>
            </w:r>
            <w:r w:rsidR="008C78A8" w:rsidRPr="008C78A8">
              <w:t>Blinatumomab</w:t>
            </w:r>
            <w:r>
              <w:t>, from 4 to 20 may have:</w:t>
            </w:r>
          </w:p>
        </w:tc>
      </w:tr>
      <w:tr w:rsidR="00F31B7A" w14:paraId="676063A8" w14:textId="77777777" w:rsidTr="00105F93">
        <w:tc>
          <w:tcPr>
            <w:tcW w:w="9350" w:type="dxa"/>
          </w:tcPr>
          <w:p w14:paraId="176BC1B9" w14:textId="015CC00B" w:rsidR="00F31B7A" w:rsidRPr="00F31B7A" w:rsidRDefault="00F31B7A" w:rsidP="00F31B7A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bookmarkStart w:id="3" w:name="_Hlk200106960"/>
            <w:proofErr w:type="gramStart"/>
            <w:r w:rsidRPr="00D96A22">
              <w:t>Condition</w:t>
            </w:r>
            <w:proofErr w:type="gramEnd"/>
            <w:r w:rsidRPr="00D96A22">
              <w:t xml:space="preserve"> that may occur after treatment with some types of </w:t>
            </w:r>
            <w:proofErr w:type="gramStart"/>
            <w:r w:rsidRPr="00D96A22">
              <w:t>immunotherapy</w:t>
            </w:r>
            <w:proofErr w:type="gramEnd"/>
            <w:r w:rsidRPr="00D96A22">
              <w:t xml:space="preserve"> caused by rapid release of substances from immune cells into the bloodstream. This may result in fever, nausea, </w:t>
            </w:r>
            <w:r w:rsidR="00BE39B9">
              <w:t>weight gain,</w:t>
            </w:r>
            <w:r w:rsidR="00BE39B9" w:rsidRPr="00D96A22">
              <w:t xml:space="preserve"> </w:t>
            </w:r>
            <w:r w:rsidRPr="00D96A22">
              <w:t>rash, rapid heartbeat, low blood pressure, trouble breathing, and in rare cases, multiorgan failure.</w:t>
            </w:r>
          </w:p>
          <w:bookmarkEnd w:id="3"/>
          <w:p w14:paraId="1BF392FA" w14:textId="77777777" w:rsidR="00F31B7A" w:rsidRPr="00F31B7A" w:rsidRDefault="00F31B7A" w:rsidP="00F31B7A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D96A22">
              <w:t>High blood pressure which may cause headaches, dizziness, blurred vision</w:t>
            </w:r>
          </w:p>
          <w:p w14:paraId="6A5A4035" w14:textId="77777777" w:rsidR="00F31B7A" w:rsidRPr="00D96A22" w:rsidRDefault="00F31B7A" w:rsidP="00F31B7A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D96A22">
              <w:t>Abnormal heartbeat or low blood pressure which may cause fainting</w:t>
            </w:r>
          </w:p>
          <w:p w14:paraId="235E24B8" w14:textId="77777777" w:rsidR="00F31B7A" w:rsidRPr="00D96A22" w:rsidRDefault="00F31B7A" w:rsidP="00F31B7A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D96A22">
              <w:t>Chest pain</w:t>
            </w:r>
          </w:p>
          <w:p w14:paraId="6DB37D29" w14:textId="77777777" w:rsidR="00F31B7A" w:rsidRPr="00D96A22" w:rsidRDefault="00F31B7A" w:rsidP="00F31B7A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D96A22">
              <w:t>Flushing</w:t>
            </w:r>
          </w:p>
          <w:p w14:paraId="19D57154" w14:textId="77777777" w:rsidR="00F31B7A" w:rsidRPr="00AE59F7" w:rsidRDefault="00F31B7A" w:rsidP="00F31B7A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D96A22">
              <w:lastRenderedPageBreak/>
              <w:t>Seizure (higher risk in patients with Down Syndrome), confusion, disorientation, difficulty</w:t>
            </w:r>
            <w:r w:rsidRPr="00E5667C">
              <w:t xml:space="preserve"> talking, difficulty with balance or walking</w:t>
            </w:r>
            <w:r>
              <w:t>, reduced sense of touch</w:t>
            </w:r>
          </w:p>
          <w:p w14:paraId="2C69587E" w14:textId="77777777" w:rsidR="00F31B7A" w:rsidRPr="00AE59F7" w:rsidRDefault="00F31B7A" w:rsidP="00F31B7A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>Damage to the brain (possibly related to immunotherapy) which may cause tiredness and changes in thinking</w:t>
            </w:r>
          </w:p>
          <w:p w14:paraId="60749D5B" w14:textId="77777777" w:rsidR="00F31B7A" w:rsidRPr="00E5667C" w:rsidRDefault="00F31B7A" w:rsidP="00F31B7A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 xml:space="preserve">Loss of consciousness – NOTE: </w:t>
            </w:r>
            <w:r w:rsidRPr="009F6893">
              <w:t>Patients should not drive or operate heavy machinery</w:t>
            </w:r>
          </w:p>
          <w:p w14:paraId="74C5A61D" w14:textId="77777777" w:rsidR="00F31B7A" w:rsidRDefault="00F31B7A" w:rsidP="00F31B7A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>Cough, shortness of breath</w:t>
            </w:r>
          </w:p>
          <w:p w14:paraId="5D82A29D" w14:textId="77777777" w:rsidR="00F31B7A" w:rsidRDefault="00F31B7A" w:rsidP="00F31B7A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>Belly pain</w:t>
            </w:r>
          </w:p>
          <w:p w14:paraId="77A55971" w14:textId="77777777" w:rsidR="00F31B7A" w:rsidRDefault="00F31B7A" w:rsidP="00F31B7A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>Sores in mouth which may cause difficulty swallowing</w:t>
            </w:r>
          </w:p>
          <w:p w14:paraId="1D654049" w14:textId="77777777" w:rsidR="00F31B7A" w:rsidRDefault="00F31B7A" w:rsidP="00F31B7A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>Tumor lysis syndrome which may cause kidney damage which may require dialysis</w:t>
            </w:r>
          </w:p>
          <w:p w14:paraId="50805C43" w14:textId="12277975" w:rsidR="00F31B7A" w:rsidRDefault="00B9246D" w:rsidP="00F31B7A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Depression</w:t>
            </w:r>
          </w:p>
        </w:tc>
      </w:tr>
    </w:tbl>
    <w:p w14:paraId="608C5003" w14:textId="77777777" w:rsidR="004A39AB" w:rsidRDefault="004A39AB" w:rsidP="004A39AB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A39AB" w14:paraId="50E1222D" w14:textId="77777777" w:rsidTr="00105F93">
        <w:trPr>
          <w:cantSplit/>
          <w:tblHeader/>
        </w:trPr>
        <w:tc>
          <w:tcPr>
            <w:tcW w:w="9350" w:type="dxa"/>
          </w:tcPr>
          <w:p w14:paraId="109235C8" w14:textId="1F2D1F11" w:rsidR="004A39AB" w:rsidRDefault="001A6E81" w:rsidP="00105F93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Rare side effects that are serious</w:t>
            </w:r>
          </w:p>
          <w:p w14:paraId="5426002A" w14:textId="3DF8A00A" w:rsidR="004A39AB" w:rsidRPr="004A39AB" w:rsidRDefault="004A39AB" w:rsidP="00105F93">
            <w:pPr>
              <w:spacing w:after="0"/>
              <w:jc w:val="center"/>
            </w:pPr>
            <w:r>
              <w:t xml:space="preserve">In 100 people receiving </w:t>
            </w:r>
            <w:r w:rsidR="008C78A8" w:rsidRPr="008C78A8">
              <w:t>Blinatumomab</w:t>
            </w:r>
            <w:r>
              <w:t>, 3 or fewer may have:</w:t>
            </w:r>
          </w:p>
        </w:tc>
      </w:tr>
      <w:tr w:rsidR="00F31B7A" w14:paraId="6CEB00C4" w14:textId="77777777" w:rsidTr="00105F93">
        <w:tc>
          <w:tcPr>
            <w:tcW w:w="9350" w:type="dxa"/>
          </w:tcPr>
          <w:p w14:paraId="67E8E6CC" w14:textId="70B57C5F" w:rsidR="00F31B7A" w:rsidRPr="00F31B7A" w:rsidRDefault="00F31B7A" w:rsidP="00F31B7A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 w:rsidRPr="00F31B7A">
              <w:t>None</w:t>
            </w:r>
          </w:p>
        </w:tc>
      </w:tr>
      <w:bookmarkEnd w:id="1"/>
    </w:tbl>
    <w:p w14:paraId="33F31C52" w14:textId="77777777" w:rsidR="004A39AB" w:rsidRPr="00F31B7A" w:rsidRDefault="004A39AB" w:rsidP="00F31B7A">
      <w:pPr>
        <w:ind w:left="173" w:hanging="173"/>
      </w:pPr>
    </w:p>
    <w:sectPr w:rsidR="004A39AB" w:rsidRPr="00F31B7A" w:rsidSect="00711001">
      <w:footerReference w:type="default" r:id="rId8"/>
      <w:footerReference w:type="first" r:id="rId9"/>
      <w:endnotePr>
        <w:numFmt w:val="chicago"/>
      </w:endnotePr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65DEF" w14:textId="77777777" w:rsidR="00150EB0" w:rsidRDefault="00150EB0" w:rsidP="004A39AB">
      <w:pPr>
        <w:spacing w:after="0" w:line="240" w:lineRule="auto"/>
      </w:pPr>
      <w:r>
        <w:separator/>
      </w:r>
    </w:p>
  </w:endnote>
  <w:endnote w:type="continuationSeparator" w:id="0">
    <w:p w14:paraId="37C99E92" w14:textId="77777777" w:rsidR="00150EB0" w:rsidRDefault="00150EB0" w:rsidP="004A39AB">
      <w:pPr>
        <w:spacing w:after="0" w:line="240" w:lineRule="auto"/>
      </w:pPr>
      <w:r>
        <w:continuationSeparator/>
      </w:r>
    </w:p>
  </w:endnote>
  <w:endnote w:id="1">
    <w:p w14:paraId="56282741" w14:textId="697EA46C" w:rsidR="00B9246D" w:rsidRDefault="00B9246D">
      <w:pPr>
        <w:pStyle w:val="EndnoteText"/>
      </w:pPr>
      <w:r w:rsidRPr="00975741">
        <w:rPr>
          <w:rStyle w:val="EndnoteReference"/>
          <w:sz w:val="24"/>
          <w:szCs w:val="24"/>
        </w:rPr>
        <w:endnoteRef/>
      </w:r>
      <w:r w:rsidRPr="00975741">
        <w:rPr>
          <w:sz w:val="24"/>
          <w:szCs w:val="24"/>
        </w:rPr>
        <w:t xml:space="preserve"> </w:t>
      </w:r>
      <w:r w:rsidR="00A8536B" w:rsidRPr="00975741">
        <w:rPr>
          <w:sz w:val="24"/>
          <w:szCs w:val="24"/>
        </w:rPr>
        <w:t xml:space="preserve">For </w:t>
      </w:r>
      <w:r w:rsidR="00A8536B" w:rsidRPr="00975741">
        <w:rPr>
          <w:b/>
          <w:bCs/>
          <w:sz w:val="24"/>
          <w:szCs w:val="24"/>
        </w:rPr>
        <w:t>Acute Lymphoblastic Leukemia (ALL) patients not in remission</w:t>
      </w:r>
      <w:r w:rsidR="00A8536B" w:rsidRPr="00975741">
        <w:rPr>
          <w:sz w:val="24"/>
          <w:szCs w:val="24"/>
        </w:rPr>
        <w:t xml:space="preserve">, this side effect is more common.  Otherwise, for </w:t>
      </w:r>
      <w:r w:rsidR="00A8536B" w:rsidRPr="00975741">
        <w:rPr>
          <w:b/>
          <w:bCs/>
          <w:sz w:val="24"/>
          <w:szCs w:val="24"/>
        </w:rPr>
        <w:t xml:space="preserve">Acute Lymphoblastic Leukemia (ALL) patients in remission, </w:t>
      </w:r>
      <w:r w:rsidR="00A8536B" w:rsidRPr="00975741">
        <w:rPr>
          <w:sz w:val="24"/>
          <w:szCs w:val="24"/>
        </w:rPr>
        <w:t>this side effect is typically rare.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473703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EED4D08" w14:textId="4DD04C43" w:rsidR="009E45BF" w:rsidRDefault="009E45B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9166347"/>
      <w:docPartObj>
        <w:docPartGallery w:val="Page Numbers (Bottom of Page)"/>
        <w:docPartUnique/>
      </w:docPartObj>
    </w:sdtPr>
    <w:sdtEndPr/>
    <w:sdtContent>
      <w:sdt>
        <w:sdtPr>
          <w:id w:val="2053028138"/>
          <w:docPartObj>
            <w:docPartGallery w:val="Page Numbers (Top of Page)"/>
            <w:docPartUnique/>
          </w:docPartObj>
        </w:sdtPr>
        <w:sdtEndPr/>
        <w:sdtContent>
          <w:p w14:paraId="75AC4970" w14:textId="54CA9E49" w:rsidR="009E45BF" w:rsidRDefault="009E45B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324A5" w14:textId="77777777" w:rsidR="00150EB0" w:rsidRDefault="00150EB0" w:rsidP="004A39AB">
      <w:pPr>
        <w:spacing w:after="0" w:line="240" w:lineRule="auto"/>
      </w:pPr>
      <w:r>
        <w:separator/>
      </w:r>
    </w:p>
  </w:footnote>
  <w:footnote w:type="continuationSeparator" w:id="0">
    <w:p w14:paraId="64DCB579" w14:textId="77777777" w:rsidR="00150EB0" w:rsidRDefault="00150EB0" w:rsidP="004A39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205B5E"/>
    <w:multiLevelType w:val="hybridMultilevel"/>
    <w:tmpl w:val="9210F6CE"/>
    <w:lvl w:ilvl="0" w:tplc="83F607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D91FC1"/>
    <w:multiLevelType w:val="hybridMultilevel"/>
    <w:tmpl w:val="95FED322"/>
    <w:lvl w:ilvl="0" w:tplc="F890546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CF2B95"/>
    <w:multiLevelType w:val="hybridMultilevel"/>
    <w:tmpl w:val="80440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3E063D"/>
    <w:multiLevelType w:val="hybridMultilevel"/>
    <w:tmpl w:val="F7147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1B7F18"/>
    <w:multiLevelType w:val="hybridMultilevel"/>
    <w:tmpl w:val="15363D16"/>
    <w:lvl w:ilvl="0" w:tplc="67DCDAF6">
      <w:start w:val="1"/>
      <w:numFmt w:val="bullet"/>
      <w:lvlText w:val=""/>
      <w:lvlJc w:val="left"/>
      <w:pPr>
        <w:ind w:left="1008" w:hanging="6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130BE0"/>
    <w:multiLevelType w:val="hybridMultilevel"/>
    <w:tmpl w:val="E13C6730"/>
    <w:lvl w:ilvl="0" w:tplc="49280CB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5894296">
    <w:abstractNumId w:val="0"/>
  </w:num>
  <w:num w:numId="2" w16cid:durableId="5136841">
    <w:abstractNumId w:val="5"/>
  </w:num>
  <w:num w:numId="3" w16cid:durableId="2070955789">
    <w:abstractNumId w:val="1"/>
  </w:num>
  <w:num w:numId="4" w16cid:durableId="235745378">
    <w:abstractNumId w:val="4"/>
  </w:num>
  <w:num w:numId="5" w16cid:durableId="1445467022">
    <w:abstractNumId w:val="2"/>
  </w:num>
  <w:num w:numId="6" w16cid:durableId="18133275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20"/>
  <w:characterSpacingControl w:val="doNotCompress"/>
  <w:footnotePr>
    <w:footnote w:id="-1"/>
    <w:footnote w:id="0"/>
  </w:footnotePr>
  <w:endnotePr>
    <w:pos w:val="sectEnd"/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F1D"/>
    <w:rsid w:val="00036044"/>
    <w:rsid w:val="00046DE6"/>
    <w:rsid w:val="000872F8"/>
    <w:rsid w:val="000D2292"/>
    <w:rsid w:val="000D3322"/>
    <w:rsid w:val="00102EE9"/>
    <w:rsid w:val="001234B8"/>
    <w:rsid w:val="00130C28"/>
    <w:rsid w:val="00150EB0"/>
    <w:rsid w:val="00151F1D"/>
    <w:rsid w:val="001A6E81"/>
    <w:rsid w:val="00234EAA"/>
    <w:rsid w:val="002806B5"/>
    <w:rsid w:val="0029479C"/>
    <w:rsid w:val="00295FB1"/>
    <w:rsid w:val="00331CEF"/>
    <w:rsid w:val="00333BB6"/>
    <w:rsid w:val="003C6CD0"/>
    <w:rsid w:val="00423BAF"/>
    <w:rsid w:val="004A3302"/>
    <w:rsid w:val="004A39AB"/>
    <w:rsid w:val="00505756"/>
    <w:rsid w:val="0053331B"/>
    <w:rsid w:val="00546FA8"/>
    <w:rsid w:val="0055786D"/>
    <w:rsid w:val="00563F23"/>
    <w:rsid w:val="00696939"/>
    <w:rsid w:val="006F4818"/>
    <w:rsid w:val="00711001"/>
    <w:rsid w:val="00713040"/>
    <w:rsid w:val="007A0E03"/>
    <w:rsid w:val="007C0608"/>
    <w:rsid w:val="00801FF5"/>
    <w:rsid w:val="00832CAF"/>
    <w:rsid w:val="00847E94"/>
    <w:rsid w:val="0087542D"/>
    <w:rsid w:val="008B34D8"/>
    <w:rsid w:val="008C78A8"/>
    <w:rsid w:val="00913D4D"/>
    <w:rsid w:val="00936C68"/>
    <w:rsid w:val="00975741"/>
    <w:rsid w:val="009E45BF"/>
    <w:rsid w:val="00A7694C"/>
    <w:rsid w:val="00A8536B"/>
    <w:rsid w:val="00AA6735"/>
    <w:rsid w:val="00AD6D62"/>
    <w:rsid w:val="00AF7F4B"/>
    <w:rsid w:val="00B0508F"/>
    <w:rsid w:val="00B178B6"/>
    <w:rsid w:val="00B21CC8"/>
    <w:rsid w:val="00B310DC"/>
    <w:rsid w:val="00B509C0"/>
    <w:rsid w:val="00B9246D"/>
    <w:rsid w:val="00BB5783"/>
    <w:rsid w:val="00BE2F8C"/>
    <w:rsid w:val="00BE39B9"/>
    <w:rsid w:val="00C70DAB"/>
    <w:rsid w:val="00C8096B"/>
    <w:rsid w:val="00C81F1D"/>
    <w:rsid w:val="00CB4264"/>
    <w:rsid w:val="00CF48CE"/>
    <w:rsid w:val="00D0238A"/>
    <w:rsid w:val="00D0685B"/>
    <w:rsid w:val="00D72ACC"/>
    <w:rsid w:val="00D823F7"/>
    <w:rsid w:val="00DA1004"/>
    <w:rsid w:val="00DD4F60"/>
    <w:rsid w:val="00DE327A"/>
    <w:rsid w:val="00E000C9"/>
    <w:rsid w:val="00E67D13"/>
    <w:rsid w:val="00E760F3"/>
    <w:rsid w:val="00ED783D"/>
    <w:rsid w:val="00EF5EC8"/>
    <w:rsid w:val="00F31B7A"/>
    <w:rsid w:val="00F50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73BA8"/>
  <w15:chartTrackingRefBased/>
  <w15:docId w15:val="{C1EAFB45-7C03-435A-A496-ECDF600D1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1FF5"/>
    <w:pPr>
      <w:spacing w:after="240"/>
    </w:pPr>
    <w:rPr>
      <w:rFonts w:ascii="Calibri" w:hAnsi="Calibri"/>
      <w:sz w:val="24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711001"/>
    <w:pPr>
      <w:spacing w:line="240" w:lineRule="auto"/>
      <w:outlineLvl w:val="0"/>
    </w:pPr>
    <w:rPr>
      <w:rFonts w:eastAsia="Times New Roman"/>
      <w:szCs w:val="24"/>
      <w:lang w:val="x-none" w:eastAsia="x-none"/>
    </w:rPr>
  </w:style>
  <w:style w:type="paragraph" w:styleId="Heading2">
    <w:name w:val="heading 2"/>
    <w:aliases w:val="Header 2"/>
    <w:basedOn w:val="Normal"/>
    <w:next w:val="Normal"/>
    <w:link w:val="Heading2Char"/>
    <w:uiPriority w:val="9"/>
    <w:unhideWhenUsed/>
    <w:qFormat/>
    <w:rsid w:val="007C0608"/>
    <w:pPr>
      <w:keepNext/>
      <w:keepLines/>
      <w:outlineLvl w:val="1"/>
    </w:pPr>
    <w:rPr>
      <w:rFonts w:eastAsiaTheme="majorEastAsia" w:cstheme="majorBidi"/>
      <w:b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D6D62"/>
    <w:pPr>
      <w:keepNext/>
      <w:keepLines/>
      <w:outlineLvl w:val="2"/>
    </w:pPr>
    <w:rPr>
      <w:rFonts w:eastAsiaTheme="majorEastAsia" w:cstheme="majorBidi"/>
      <w:b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1F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1F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1F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1F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1F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1F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711001"/>
    <w:rPr>
      <w:rFonts w:ascii="Calibri" w:eastAsia="Times New Roman" w:hAnsi="Calibri" w:cstheme="majorBidi"/>
      <w:b/>
      <w:sz w:val="24"/>
      <w:szCs w:val="24"/>
      <w:lang w:val="x-none" w:eastAsia="x-none"/>
    </w:rPr>
  </w:style>
  <w:style w:type="character" w:customStyle="1" w:styleId="Heading2Char">
    <w:name w:val="Heading 2 Char"/>
    <w:aliases w:val="Header 2 Char"/>
    <w:basedOn w:val="DefaultParagraphFont"/>
    <w:link w:val="Heading2"/>
    <w:uiPriority w:val="9"/>
    <w:rsid w:val="00151F1D"/>
    <w:rPr>
      <w:rFonts w:ascii="Calibri" w:eastAsiaTheme="majorEastAsia" w:hAnsi="Calibri" w:cstheme="majorBidi"/>
      <w:b/>
      <w:sz w:val="2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D6D62"/>
    <w:rPr>
      <w:rFonts w:ascii="Calibri" w:eastAsiaTheme="majorEastAsia" w:hAnsi="Calibri" w:cstheme="majorBidi"/>
      <w:b/>
      <w:sz w:val="24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1F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1F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1F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1F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1F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1F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1F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1F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1F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1F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1F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1F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1F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1F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1F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1F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1F1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51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A39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39AB"/>
    <w:rPr>
      <w:rFonts w:ascii="Calibri" w:hAnsi="Calibri"/>
      <w:sz w:val="24"/>
    </w:rPr>
  </w:style>
  <w:style w:type="paragraph" w:styleId="Footer">
    <w:name w:val="footer"/>
    <w:basedOn w:val="Normal"/>
    <w:link w:val="FooterChar"/>
    <w:uiPriority w:val="99"/>
    <w:unhideWhenUsed/>
    <w:rsid w:val="004A39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39AB"/>
    <w:rPr>
      <w:rFonts w:ascii="Calibri" w:hAnsi="Calibri"/>
      <w:sz w:val="24"/>
    </w:rPr>
  </w:style>
  <w:style w:type="paragraph" w:styleId="Revision">
    <w:name w:val="Revision"/>
    <w:hidden/>
    <w:uiPriority w:val="99"/>
    <w:semiHidden/>
    <w:rsid w:val="001A6E81"/>
    <w:pPr>
      <w:spacing w:after="0" w:line="240" w:lineRule="auto"/>
    </w:pPr>
    <w:rPr>
      <w:rFonts w:ascii="Calibri" w:hAnsi="Calibri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A6E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A6E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A6E81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6E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6E81"/>
    <w:rPr>
      <w:rFonts w:ascii="Calibri" w:hAnsi="Calibri"/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CF48CE"/>
    <w:rPr>
      <w:b/>
      <w:b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A6735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A6735"/>
    <w:rPr>
      <w:rFonts w:ascii="Calibri" w:hAnsi="Calibri"/>
      <w:sz w:val="20"/>
      <w:szCs w:val="20"/>
    </w:rPr>
  </w:style>
  <w:style w:type="character" w:styleId="EndnoteReference">
    <w:name w:val="endnote reference"/>
    <w:basedOn w:val="DefaultParagraphFont"/>
    <w:uiPriority w:val="99"/>
    <w:unhideWhenUsed/>
    <w:rsid w:val="00AA673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24D80-15E4-4666-895B-DAFDF6D7D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Blinatumomab Side Effects</vt:lpstr>
    </vt:vector>
  </TitlesOfParts>
  <Company>National Cancer Institute</Company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Blinatumomab Side Effects</dc:title>
  <dc:subject>Possible Side Effects of Blinatumomab</dc:subject>
  <dc:creator>HHS/DCTD/CTEP</dc:creator>
  <cp:keywords>Blinatumomab, possible, side effects, commercial use, streamlined summary</cp:keywords>
  <dc:description/>
  <cp:lastModifiedBy>Williams, Christopher (NIH/NCI) [C]</cp:lastModifiedBy>
  <cp:revision>2</cp:revision>
  <dcterms:created xsi:type="dcterms:W3CDTF">2025-12-22T20:29:00Z</dcterms:created>
  <dcterms:modified xsi:type="dcterms:W3CDTF">2025-12-22T20:29:00Z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