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C662" w14:textId="188E735B" w:rsidR="00E329AC" w:rsidRPr="00D9793D" w:rsidRDefault="00D94D6C" w:rsidP="00DA234E">
      <w:pPr>
        <w:pStyle w:val="Heading1"/>
        <w:ind w:left="180"/>
      </w:pPr>
      <w:r w:rsidRPr="00D94D6C">
        <w:t>Possible Side Effects o</w:t>
      </w:r>
      <w:r>
        <w:t xml:space="preserve">f </w:t>
      </w:r>
      <w:r w:rsidRPr="00D94D6C">
        <w:t>Bleomycin</w:t>
      </w:r>
      <w:r w:rsidR="00282E4D" w:rsidRPr="007C52ED">
        <w:t xml:space="preserve">, </w:t>
      </w:r>
      <w:r w:rsidR="00282E4D">
        <w:t>Etoposide, Doxorubicin, Cyclophosphamide</w:t>
      </w:r>
      <w:r w:rsidR="004A3DEB">
        <w:t>, Vincristine</w:t>
      </w:r>
      <w:r w:rsidR="007E15FA">
        <w:rPr>
          <w:lang w:val="en-US"/>
        </w:rPr>
        <w:t>, Procarbazine,</w:t>
      </w:r>
      <w:r w:rsidRPr="00D94D6C">
        <w:t xml:space="preserve"> </w:t>
      </w:r>
      <w:r w:rsidR="007E15FA">
        <w:rPr>
          <w:lang w:val="en-US"/>
        </w:rPr>
        <w:t xml:space="preserve">and Prednisone (BEACOPP) </w:t>
      </w:r>
      <w:r w:rsidRPr="00D94D6C">
        <w:t>(Table Version Date:</w:t>
      </w:r>
      <w:r w:rsidR="00282E4D">
        <w:rPr>
          <w:lang w:val="en-US"/>
        </w:rPr>
        <w:t xml:space="preserve"> March 21, 2022</w:t>
      </w:r>
      <w:r w:rsidRPr="00D94D6C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7C52ED" w14:paraId="169C9EA3" w14:textId="77777777" w:rsidTr="003A599A">
        <w:trPr>
          <w:cantSplit/>
          <w:tblHeader/>
        </w:trPr>
        <w:tc>
          <w:tcPr>
            <w:tcW w:w="10615" w:type="dxa"/>
          </w:tcPr>
          <w:p w14:paraId="6BDA872C" w14:textId="77777777" w:rsidR="00460607" w:rsidRPr="00D9793D" w:rsidRDefault="00460607" w:rsidP="007C52ED">
            <w:pPr>
              <w:jc w:val="center"/>
              <w:rPr>
                <w:rStyle w:val="Strong"/>
              </w:rPr>
            </w:pPr>
            <w:r w:rsidRPr="00D9793D">
              <w:rPr>
                <w:rStyle w:val="Strong"/>
              </w:rPr>
              <w:t>COMMON, SOME MAY BE SERIOUS</w:t>
            </w:r>
          </w:p>
          <w:p w14:paraId="3980A091" w14:textId="57389498" w:rsidR="00704B3C" w:rsidRPr="007C52ED" w:rsidRDefault="00460607" w:rsidP="001B7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2ED">
              <w:rPr>
                <w:rFonts w:ascii="Times New Roman" w:hAnsi="Times New Roman"/>
                <w:sz w:val="24"/>
                <w:szCs w:val="24"/>
              </w:rPr>
              <w:t xml:space="preserve">In 100 people receiving Bleomycin, </w:t>
            </w:r>
            <w:r w:rsidR="005F6621">
              <w:rPr>
                <w:rFonts w:ascii="Times New Roman" w:hAnsi="Times New Roman"/>
                <w:sz w:val="24"/>
                <w:szCs w:val="24"/>
              </w:rPr>
              <w:t xml:space="preserve">Etoposide, </w:t>
            </w:r>
            <w:r w:rsidR="00162F11">
              <w:rPr>
                <w:rFonts w:ascii="Times New Roman" w:hAnsi="Times New Roman"/>
                <w:sz w:val="24"/>
                <w:szCs w:val="24"/>
              </w:rPr>
              <w:t>Doxorubicin</w:t>
            </w:r>
            <w:r w:rsidR="00282E4D">
              <w:rPr>
                <w:rFonts w:ascii="Times New Roman" w:hAnsi="Times New Roman"/>
                <w:sz w:val="24"/>
                <w:szCs w:val="24"/>
              </w:rPr>
              <w:t>, Cyclophosphamide</w:t>
            </w:r>
            <w:r w:rsidR="004A3DEB">
              <w:rPr>
                <w:rFonts w:ascii="Times New Roman" w:hAnsi="Times New Roman"/>
                <w:sz w:val="24"/>
                <w:szCs w:val="24"/>
              </w:rPr>
              <w:t>, Vincristine</w:t>
            </w:r>
            <w:r w:rsidR="00282E4D">
              <w:rPr>
                <w:rFonts w:ascii="Times New Roman" w:hAnsi="Times New Roman"/>
                <w:sz w:val="24"/>
                <w:szCs w:val="24"/>
              </w:rPr>
              <w:t>,</w:t>
            </w:r>
            <w:r w:rsidR="007E1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5FA" w:rsidRPr="007E15FA">
              <w:rPr>
                <w:rFonts w:ascii="Times New Roman" w:hAnsi="Times New Roman"/>
                <w:sz w:val="24"/>
                <w:szCs w:val="24"/>
              </w:rPr>
              <w:t>Procarbazine, and Prednisone (BEACOPP)</w:t>
            </w:r>
            <w:r w:rsidR="007E15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8687C" w:rsidRPr="00845824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7C52E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C6552F" w14:paraId="589E7AB0" w14:textId="77777777" w:rsidTr="003A599A">
        <w:tc>
          <w:tcPr>
            <w:tcW w:w="10615" w:type="dxa"/>
          </w:tcPr>
          <w:p w14:paraId="16C5484B" w14:textId="77777777" w:rsidR="00EA2F5D" w:rsidRDefault="00EA2F5D" w:rsidP="005F662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  <w:r w:rsidRPr="00997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B8B020" w14:textId="54E40777" w:rsidR="00781E6C" w:rsidRDefault="00781E6C" w:rsidP="005F662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 xml:space="preserve">Swelling of the </w:t>
            </w:r>
            <w:r>
              <w:rPr>
                <w:rFonts w:ascii="Times New Roman" w:hAnsi="Times New Roman"/>
                <w:sz w:val="24"/>
                <w:szCs w:val="24"/>
              </w:rPr>
              <w:t>body</w:t>
            </w:r>
            <w:r w:rsidR="00C0431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including the </w:t>
            </w:r>
            <w:r w:rsidRPr="00C6552F">
              <w:rPr>
                <w:rFonts w:ascii="Times New Roman" w:hAnsi="Times New Roman"/>
                <w:sz w:val="24"/>
                <w:szCs w:val="24"/>
              </w:rPr>
              <w:t>brain</w:t>
            </w:r>
            <w:r w:rsidR="00C0431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which may cause </w:t>
            </w:r>
            <w:r>
              <w:rPr>
                <w:rFonts w:ascii="Times New Roman" w:hAnsi="Times New Roman"/>
                <w:sz w:val="24"/>
                <w:szCs w:val="24"/>
              </w:rPr>
              <w:t>dizziness, confusion</w:t>
            </w:r>
          </w:p>
          <w:p w14:paraId="49C63B77" w14:textId="5818AD2E" w:rsidR="005F6621" w:rsidRPr="009970BB" w:rsidRDefault="005F6621" w:rsidP="005F662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70BB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585A82"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9970BB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54E42E07" w14:textId="77777777" w:rsidR="005F6621" w:rsidRPr="00E0257B" w:rsidRDefault="005F6621" w:rsidP="005F662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70BB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50C6AEAA" w14:textId="77777777" w:rsidR="005F6621" w:rsidRDefault="005F6621" w:rsidP="005F662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18DD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transfusions</w:t>
            </w:r>
          </w:p>
          <w:p w14:paraId="29129AB8" w14:textId="7D6A8918" w:rsidR="005F6621" w:rsidRDefault="00952015" w:rsidP="007C52E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442C2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117EA364" w14:textId="415E58AA" w:rsidR="0024519D" w:rsidRPr="00C6552F" w:rsidRDefault="0024519D" w:rsidP="007C52E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 xml:space="preserve">Sores in mouth </w:t>
            </w:r>
            <w:r w:rsidR="00585A82">
              <w:rPr>
                <w:rFonts w:ascii="Times New Roman" w:hAnsi="Times New Roman"/>
                <w:sz w:val="24"/>
                <w:szCs w:val="24"/>
              </w:rPr>
              <w:t xml:space="preserve">or throat </w:t>
            </w:r>
            <w:r w:rsidRPr="00C6552F">
              <w:rPr>
                <w:rFonts w:ascii="Times New Roman" w:hAnsi="Times New Roman"/>
                <w:sz w:val="24"/>
                <w:szCs w:val="24"/>
              </w:rPr>
              <w:t>which may cause difficulty swallowing</w:t>
            </w:r>
          </w:p>
          <w:p w14:paraId="3F674453" w14:textId="1F13AA0B" w:rsidR="00F33498" w:rsidRDefault="005F6621" w:rsidP="0024519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D43BF4">
              <w:rPr>
                <w:rFonts w:ascii="Times New Roman" w:hAnsi="Times New Roman"/>
                <w:sz w:val="24"/>
                <w:szCs w:val="24"/>
              </w:rPr>
              <w:t>ausea</w:t>
            </w:r>
            <w:r>
              <w:rPr>
                <w:rFonts w:ascii="Times New Roman" w:hAnsi="Times New Roman"/>
                <w:sz w:val="24"/>
                <w:szCs w:val="24"/>
              </w:rPr>
              <w:t>, v</w:t>
            </w:r>
            <w:r w:rsidR="00F33498">
              <w:rPr>
                <w:rFonts w:ascii="Times New Roman" w:hAnsi="Times New Roman"/>
                <w:sz w:val="24"/>
                <w:szCs w:val="24"/>
              </w:rPr>
              <w:t>omiting</w:t>
            </w:r>
            <w:r w:rsidR="00E56B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52015">
              <w:rPr>
                <w:rFonts w:ascii="Times New Roman" w:hAnsi="Times New Roman"/>
                <w:sz w:val="24"/>
                <w:szCs w:val="24"/>
              </w:rPr>
              <w:t>d</w:t>
            </w:r>
            <w:r w:rsidR="00952015" w:rsidRPr="00D43BF4">
              <w:rPr>
                <w:rFonts w:ascii="Times New Roman" w:hAnsi="Times New Roman"/>
                <w:sz w:val="24"/>
                <w:szCs w:val="24"/>
              </w:rPr>
              <w:t>iarrhea</w:t>
            </w:r>
            <w:r w:rsidR="009520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6BED">
              <w:rPr>
                <w:rFonts w:ascii="Times New Roman" w:hAnsi="Times New Roman"/>
                <w:sz w:val="24"/>
                <w:szCs w:val="24"/>
              </w:rPr>
              <w:t>decreased appetite</w:t>
            </w:r>
            <w:r w:rsidR="00952015">
              <w:rPr>
                <w:rFonts w:ascii="Times New Roman" w:hAnsi="Times New Roman"/>
                <w:sz w:val="24"/>
                <w:szCs w:val="24"/>
              </w:rPr>
              <w:t>, pain in the belly</w:t>
            </w:r>
          </w:p>
          <w:p w14:paraId="41F4FC38" w14:textId="6E7CBDD1" w:rsidR="003D17C4" w:rsidRDefault="003D17C4" w:rsidP="0024519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onstipation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which may be severe,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as a result of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 bowel blockage</w:t>
            </w:r>
          </w:p>
          <w:p w14:paraId="42A470EB" w14:textId="6F39B5BD" w:rsidR="00952015" w:rsidRDefault="00952015" w:rsidP="0024519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Absen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91419">
              <w:rPr>
                <w:rFonts w:ascii="Times New Roman" w:hAnsi="Times New Roman"/>
                <w:sz w:val="24"/>
                <w:szCs w:val="24"/>
              </w:rPr>
              <w:t xml:space="preserve">e of menstrual period </w:t>
            </w:r>
            <w:r>
              <w:rPr>
                <w:rFonts w:ascii="Times New Roman" w:hAnsi="Times New Roman"/>
                <w:sz w:val="24"/>
                <w:szCs w:val="24"/>
              </w:rPr>
              <w:t>which may decrease the ability to have children</w:t>
            </w:r>
            <w:r w:rsidR="00F14970">
              <w:rPr>
                <w:rFonts w:ascii="Times New Roman" w:hAnsi="Times New Roman"/>
                <w:sz w:val="24"/>
                <w:szCs w:val="24"/>
              </w:rPr>
              <w:t>,</w:t>
            </w:r>
            <w:r w:rsidR="00F14970" w:rsidRPr="00291419">
              <w:rPr>
                <w:rFonts w:ascii="Times New Roman" w:hAnsi="Times New Roman"/>
                <w:sz w:val="24"/>
                <w:szCs w:val="24"/>
              </w:rPr>
              <w:t xml:space="preserve"> early menopause</w:t>
            </w:r>
          </w:p>
          <w:p w14:paraId="34A1B020" w14:textId="2E5C47DC" w:rsidR="00204D55" w:rsidRPr="007B70B8" w:rsidRDefault="00204D55" w:rsidP="00204D55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Headache, jaw pain</w:t>
            </w:r>
            <w:r w:rsidR="004B6F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07CA">
              <w:rPr>
                <w:rFonts w:ascii="Times New Roman" w:hAnsi="Times New Roman"/>
                <w:sz w:val="24"/>
                <w:szCs w:val="24"/>
              </w:rPr>
              <w:t xml:space="preserve">joint pain, 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 xml:space="preserve">and/or </w:t>
            </w:r>
            <w:r>
              <w:rPr>
                <w:rFonts w:ascii="Times New Roman" w:hAnsi="Times New Roman"/>
                <w:sz w:val="24"/>
                <w:szCs w:val="24"/>
              </w:rPr>
              <w:t>bone/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muscle pain</w:t>
            </w:r>
          </w:p>
          <w:p w14:paraId="365260D5" w14:textId="77777777" w:rsidR="00781E6C" w:rsidRDefault="00781E6C" w:rsidP="00204D55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Loss of bone tissue</w:t>
            </w:r>
          </w:p>
          <w:p w14:paraId="39EE8475" w14:textId="6E65AF7E" w:rsidR="00204D55" w:rsidRPr="007B70B8" w:rsidRDefault="00204D55" w:rsidP="00204D55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Numbness</w:t>
            </w:r>
            <w:r w:rsidR="004B6F10">
              <w:rPr>
                <w:rFonts w:ascii="Times New Roman" w:hAnsi="Times New Roman"/>
                <w:sz w:val="24"/>
                <w:szCs w:val="24"/>
              </w:rPr>
              <w:t>, pain,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 xml:space="preserve"> and tingling of </w:t>
            </w:r>
            <w:r w:rsidR="004B6F10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724625">
              <w:rPr>
                <w:rFonts w:ascii="Times New Roman" w:hAnsi="Times New Roman"/>
                <w:sz w:val="24"/>
                <w:szCs w:val="24"/>
              </w:rPr>
              <w:t xml:space="preserve">upper body, </w:t>
            </w:r>
            <w:r w:rsidR="004B6F10">
              <w:rPr>
                <w:rFonts w:ascii="Times New Roman" w:hAnsi="Times New Roman"/>
                <w:sz w:val="24"/>
                <w:szCs w:val="24"/>
              </w:rPr>
              <w:t xml:space="preserve">arms, legs, 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 xml:space="preserve">fingers </w:t>
            </w:r>
            <w:r w:rsidR="004B6F10">
              <w:rPr>
                <w:rFonts w:ascii="Times New Roman" w:hAnsi="Times New Roman"/>
                <w:sz w:val="24"/>
                <w:szCs w:val="24"/>
              </w:rPr>
              <w:t>and/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or toes</w:t>
            </w:r>
          </w:p>
          <w:p w14:paraId="2CD8FBDC" w14:textId="77777777" w:rsidR="003D17C4" w:rsidRDefault="003D17C4" w:rsidP="0024519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Muscle weakness and difficulty walking</w:t>
            </w:r>
          </w:p>
          <w:p w14:paraId="0B53C6BC" w14:textId="77777777" w:rsidR="00781E6C" w:rsidRDefault="00781E6C" w:rsidP="0024519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In children and adolescents: decreased height</w:t>
            </w:r>
          </w:p>
          <w:p w14:paraId="55CCBE95" w14:textId="77777777" w:rsidR="00781E6C" w:rsidRDefault="00781E6C" w:rsidP="00781E6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096A9FFF" w14:textId="77777777" w:rsidR="00781E6C" w:rsidRDefault="00781E6C" w:rsidP="00781E6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Mood swings</w:t>
            </w:r>
          </w:p>
          <w:p w14:paraId="30784FD4" w14:textId="3F004BD9" w:rsidR="00781E6C" w:rsidRDefault="00781E6C" w:rsidP="00781E6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Increased appetite and weight gain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BFA">
              <w:rPr>
                <w:rFonts w:ascii="Times New Roman" w:hAnsi="Times New Roman"/>
                <w:sz w:val="24"/>
                <w:szCs w:val="24"/>
              </w:rPr>
              <w:t>in the belly, face, back and shoulders</w:t>
            </w:r>
          </w:p>
          <w:p w14:paraId="424EF471" w14:textId="79BBB0BE" w:rsidR="0024519D" w:rsidRPr="00C6552F" w:rsidRDefault="0024519D" w:rsidP="0024519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>Fever</w:t>
            </w:r>
            <w:r w:rsidR="00E56BED">
              <w:rPr>
                <w:rFonts w:ascii="Times New Roman" w:hAnsi="Times New Roman"/>
                <w:sz w:val="24"/>
                <w:szCs w:val="24"/>
              </w:rPr>
              <w:t>, chills (occurring within 3-6 hours after administration)</w:t>
            </w:r>
          </w:p>
          <w:p w14:paraId="0213B288" w14:textId="6724FC0D" w:rsidR="00C50E0C" w:rsidRPr="00C6552F" w:rsidRDefault="007E0F59" w:rsidP="007C52E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 xml:space="preserve">Changes in skin </w:t>
            </w:r>
            <w:r w:rsidR="005D2510">
              <w:rPr>
                <w:rFonts w:ascii="Times New Roman" w:hAnsi="Times New Roman"/>
                <w:sz w:val="24"/>
                <w:szCs w:val="24"/>
              </w:rPr>
              <w:t xml:space="preserve">or skin </w:t>
            </w:r>
            <w:r w:rsidRPr="00C6552F">
              <w:rPr>
                <w:rFonts w:ascii="Times New Roman" w:hAnsi="Times New Roman"/>
                <w:sz w:val="24"/>
                <w:szCs w:val="24"/>
              </w:rPr>
              <w:t>color</w:t>
            </w:r>
            <w:r w:rsidR="005D2510">
              <w:rPr>
                <w:rFonts w:ascii="Times New Roman" w:hAnsi="Times New Roman"/>
                <w:sz w:val="24"/>
                <w:szCs w:val="24"/>
              </w:rPr>
              <w:t>, including</w:t>
            </w:r>
            <w:r w:rsidR="00F33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510">
              <w:rPr>
                <w:rFonts w:ascii="Times New Roman" w:hAnsi="Times New Roman"/>
                <w:sz w:val="24"/>
                <w:szCs w:val="24"/>
              </w:rPr>
              <w:t xml:space="preserve">darkening or thickening of skin, </w:t>
            </w:r>
            <w:r w:rsidR="00F33498">
              <w:rPr>
                <w:rFonts w:ascii="Times New Roman" w:hAnsi="Times New Roman"/>
                <w:sz w:val="24"/>
                <w:szCs w:val="24"/>
              </w:rPr>
              <w:t>dark stripes on skin, skin ras</w:t>
            </w:r>
            <w:r w:rsidR="000C3C6E">
              <w:rPr>
                <w:rFonts w:ascii="Times New Roman" w:hAnsi="Times New Roman"/>
                <w:sz w:val="24"/>
                <w:szCs w:val="24"/>
              </w:rPr>
              <w:t>h</w:t>
            </w:r>
            <w:r w:rsidR="00F33498">
              <w:rPr>
                <w:rFonts w:ascii="Times New Roman" w:hAnsi="Times New Roman"/>
                <w:sz w:val="24"/>
                <w:szCs w:val="24"/>
              </w:rPr>
              <w:t xml:space="preserve"> or colored bumps on </w:t>
            </w:r>
            <w:proofErr w:type="gramStart"/>
            <w:r w:rsidR="00F33498">
              <w:rPr>
                <w:rFonts w:ascii="Times New Roman" w:hAnsi="Times New Roman"/>
                <w:sz w:val="24"/>
                <w:szCs w:val="24"/>
              </w:rPr>
              <w:t>finger tips</w:t>
            </w:r>
            <w:proofErr w:type="gramEnd"/>
            <w:r w:rsidR="00F33498">
              <w:rPr>
                <w:rFonts w:ascii="Times New Roman" w:hAnsi="Times New Roman"/>
                <w:sz w:val="24"/>
                <w:szCs w:val="24"/>
              </w:rPr>
              <w:t>, palms, or elbows and toes,</w:t>
            </w:r>
            <w:r w:rsidR="005D2510">
              <w:rPr>
                <w:rFonts w:ascii="Times New Roman" w:hAnsi="Times New Roman"/>
                <w:sz w:val="24"/>
                <w:szCs w:val="24"/>
              </w:rPr>
              <w:t xml:space="preserve"> swelling of fingers,</w:t>
            </w:r>
            <w:r w:rsidR="00F33498">
              <w:rPr>
                <w:rFonts w:ascii="Times New Roman" w:hAnsi="Times New Roman"/>
                <w:sz w:val="24"/>
                <w:szCs w:val="24"/>
              </w:rPr>
              <w:t xml:space="preserve"> skin redness or tenderness, itching</w:t>
            </w:r>
            <w:r w:rsidR="00781E6C">
              <w:rPr>
                <w:rFonts w:ascii="Times New Roman" w:hAnsi="Times New Roman"/>
                <w:sz w:val="24"/>
                <w:szCs w:val="24"/>
              </w:rPr>
              <w:t>, or acne</w:t>
            </w:r>
          </w:p>
          <w:p w14:paraId="5593C962" w14:textId="21A1A3B9" w:rsidR="005C33F5" w:rsidRDefault="005C33F5" w:rsidP="0024519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Changes to the</w:t>
            </w:r>
            <w:r w:rsidRPr="00E65286">
              <w:rPr>
                <w:rFonts w:ascii="Times New Roman" w:hAnsi="Times New Roman"/>
                <w:sz w:val="24"/>
                <w:szCs w:val="24"/>
              </w:rPr>
              <w:t xml:space="preserve"> nails</w:t>
            </w:r>
          </w:p>
          <w:p w14:paraId="5438EB26" w14:textId="7740F1AD" w:rsidR="003D17C4" w:rsidRDefault="003D17C4" w:rsidP="0024519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5286">
              <w:rPr>
                <w:rFonts w:ascii="Times New Roman" w:hAnsi="Times New Roman"/>
                <w:sz w:val="24"/>
                <w:szCs w:val="24"/>
              </w:rPr>
              <w:t>Swelling</w:t>
            </w:r>
            <w:r>
              <w:rPr>
                <w:rFonts w:ascii="Times New Roman" w:hAnsi="Times New Roman"/>
                <w:sz w:val="24"/>
                <w:szCs w:val="24"/>
              </w:rPr>
              <w:t>, pain,</w:t>
            </w:r>
            <w:r w:rsidRPr="00E65286">
              <w:rPr>
                <w:rFonts w:ascii="Times New Roman" w:hAnsi="Times New Roman"/>
                <w:sz w:val="24"/>
                <w:szCs w:val="24"/>
              </w:rPr>
              <w:t xml:space="preserve"> and redness at the site of the medication injection or area of previous radiation</w:t>
            </w:r>
          </w:p>
          <w:p w14:paraId="27EEFAED" w14:textId="7262D2AB" w:rsidR="005F6621" w:rsidRDefault="005F6621" w:rsidP="0024519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Red colored urine, saliva, or sweat</w:t>
            </w:r>
          </w:p>
          <w:p w14:paraId="48B4BC09" w14:textId="19CEA725" w:rsidR="008B37F8" w:rsidRPr="00C6552F" w:rsidRDefault="007E0F59" w:rsidP="0024519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52D5A57A" w14:textId="77777777" w:rsidR="00292DC1" w:rsidRPr="00C6552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C6552F" w14:paraId="3DD0E409" w14:textId="77777777" w:rsidTr="003A599A">
        <w:trPr>
          <w:cantSplit/>
          <w:tblHeader/>
        </w:trPr>
        <w:tc>
          <w:tcPr>
            <w:tcW w:w="10615" w:type="dxa"/>
          </w:tcPr>
          <w:p w14:paraId="693A169B" w14:textId="77777777" w:rsidR="00460607" w:rsidRPr="00C6552F" w:rsidRDefault="00460607" w:rsidP="007C52ED">
            <w:pPr>
              <w:jc w:val="center"/>
              <w:rPr>
                <w:rStyle w:val="Strong"/>
              </w:rPr>
            </w:pPr>
            <w:r w:rsidRPr="00C6552F">
              <w:rPr>
                <w:rStyle w:val="Strong"/>
              </w:rPr>
              <w:t>OCCASIONAL, SOME MAY BE SERIOUS</w:t>
            </w:r>
          </w:p>
          <w:p w14:paraId="7482179D" w14:textId="126933FC" w:rsidR="00704B3C" w:rsidRPr="00C6552F" w:rsidRDefault="00460607" w:rsidP="001B7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 xml:space="preserve">In 100 people receiving Bleomycin, </w:t>
            </w:r>
            <w:r w:rsidR="005F6621">
              <w:rPr>
                <w:rFonts w:ascii="Times New Roman" w:hAnsi="Times New Roman"/>
                <w:sz w:val="24"/>
                <w:szCs w:val="24"/>
              </w:rPr>
              <w:t xml:space="preserve">Etoposide, </w:t>
            </w:r>
            <w:r w:rsidR="00162F11">
              <w:rPr>
                <w:rFonts w:ascii="Times New Roman" w:hAnsi="Times New Roman"/>
                <w:sz w:val="24"/>
                <w:szCs w:val="24"/>
              </w:rPr>
              <w:t>Doxorubicin</w:t>
            </w:r>
            <w:r w:rsidR="00282E4D">
              <w:rPr>
                <w:rFonts w:ascii="Times New Roman" w:hAnsi="Times New Roman"/>
                <w:sz w:val="24"/>
                <w:szCs w:val="24"/>
              </w:rPr>
              <w:t>, Cyclophosphamide</w:t>
            </w:r>
            <w:r w:rsidR="004A3DEB">
              <w:rPr>
                <w:rFonts w:ascii="Times New Roman" w:hAnsi="Times New Roman"/>
                <w:sz w:val="24"/>
                <w:szCs w:val="24"/>
              </w:rPr>
              <w:t>, Vincristine</w:t>
            </w:r>
            <w:r w:rsidR="007E15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E15FA" w:rsidRPr="007E15FA">
              <w:rPr>
                <w:rFonts w:ascii="Times New Roman" w:hAnsi="Times New Roman"/>
                <w:sz w:val="24"/>
                <w:szCs w:val="24"/>
              </w:rPr>
              <w:t>Procarbazine, and Prednisone (BEACOPP)</w:t>
            </w:r>
            <w:r w:rsidR="00282E4D">
              <w:rPr>
                <w:rFonts w:ascii="Times New Roman" w:hAnsi="Times New Roman"/>
                <w:sz w:val="24"/>
                <w:szCs w:val="24"/>
              </w:rPr>
              <w:t>,</w:t>
            </w:r>
            <w:r w:rsidR="00162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2F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7C52ED" w14:paraId="59B535C9" w14:textId="77777777" w:rsidTr="003A599A">
        <w:tc>
          <w:tcPr>
            <w:tcW w:w="10615" w:type="dxa"/>
          </w:tcPr>
          <w:p w14:paraId="11C90CCE" w14:textId="652025B2" w:rsidR="0024519D" w:rsidRDefault="005F6621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Heart failure or heart attack which may cause shortness of breath, swelling of ankles, cough or tiredness which may occur years after the dose</w:t>
            </w:r>
          </w:p>
          <w:p w14:paraId="1D53176D" w14:textId="4E485887" w:rsidR="005F6621" w:rsidRPr="00C6552F" w:rsidRDefault="005F6621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 xml:space="preserve">Abnormal </w:t>
            </w:r>
            <w:r w:rsidR="00781E6C">
              <w:rPr>
                <w:rFonts w:ascii="Times New Roman" w:hAnsi="Times New Roman"/>
                <w:sz w:val="24"/>
                <w:szCs w:val="24"/>
              </w:rPr>
              <w:t xml:space="preserve">or irregular </w:t>
            </w:r>
            <w:r w:rsidRPr="00291419">
              <w:rPr>
                <w:rFonts w:ascii="Times New Roman" w:hAnsi="Times New Roman"/>
                <w:sz w:val="24"/>
                <w:szCs w:val="24"/>
              </w:rPr>
              <w:t>heartbeat</w:t>
            </w:r>
          </w:p>
          <w:p w14:paraId="5C770821" w14:textId="77777777" w:rsidR="005C33F5" w:rsidRDefault="005C33F5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Fluid around the heart</w:t>
            </w:r>
          </w:p>
          <w:p w14:paraId="7426A2D9" w14:textId="5AEAB4E2" w:rsidR="003D17C4" w:rsidRDefault="000B04E2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3D17C4" w:rsidRPr="007B70B8">
              <w:rPr>
                <w:rFonts w:ascii="Times New Roman" w:hAnsi="Times New Roman"/>
                <w:sz w:val="24"/>
                <w:szCs w:val="24"/>
              </w:rPr>
              <w:t>ow blood pressure</w:t>
            </w:r>
            <w:r w:rsidR="00F14970">
              <w:rPr>
                <w:rFonts w:ascii="Times New Roman" w:hAnsi="Times New Roman"/>
                <w:sz w:val="24"/>
                <w:szCs w:val="24"/>
              </w:rPr>
              <w:t xml:space="preserve"> which may cause feeling faint</w:t>
            </w:r>
            <w:r w:rsidR="00724625">
              <w:rPr>
                <w:rFonts w:ascii="Times New Roman" w:hAnsi="Times New Roman"/>
                <w:sz w:val="24"/>
                <w:szCs w:val="24"/>
              </w:rPr>
              <w:t>, tiredness</w:t>
            </w:r>
          </w:p>
          <w:p w14:paraId="104F271E" w14:textId="77777777" w:rsidR="003D17C4" w:rsidRDefault="003D17C4" w:rsidP="007C52E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0B3FBEB3" w14:textId="6E6E1601" w:rsidR="00585A82" w:rsidRDefault="005F6621" w:rsidP="007C52E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Damage to the lungs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A82" w:rsidRPr="00C6552F">
              <w:rPr>
                <w:rFonts w:ascii="Times New Roman" w:hAnsi="Times New Roman"/>
                <w:sz w:val="24"/>
                <w:szCs w:val="24"/>
              </w:rPr>
              <w:t>which may cause shortness of breath</w:t>
            </w:r>
            <w:r w:rsidR="00585A82">
              <w:rPr>
                <w:rFonts w:ascii="Times New Roman" w:hAnsi="Times New Roman"/>
                <w:sz w:val="24"/>
                <w:szCs w:val="24"/>
              </w:rPr>
              <w:t xml:space="preserve"> when combined with radiation</w:t>
            </w:r>
          </w:p>
          <w:p w14:paraId="63640E8E" w14:textId="38E4CAE3" w:rsidR="0024519D" w:rsidRPr="00C6552F" w:rsidRDefault="00585A82" w:rsidP="007C52E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24519D" w:rsidRPr="00C6552F">
              <w:rPr>
                <w:rFonts w:ascii="Times New Roman" w:hAnsi="Times New Roman"/>
                <w:sz w:val="24"/>
                <w:szCs w:val="24"/>
              </w:rPr>
              <w:t>carring of the lungs which may cause shortness of breath</w:t>
            </w:r>
          </w:p>
          <w:p w14:paraId="108F509B" w14:textId="77777777" w:rsidR="00C50E0C" w:rsidRPr="00C6552F" w:rsidRDefault="00C50E0C" w:rsidP="007C52E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>Blood clot which may cause swelling, pain, shortness of breath</w:t>
            </w:r>
          </w:p>
          <w:p w14:paraId="3156352E" w14:textId="5342EC25" w:rsidR="003F185F" w:rsidRDefault="003F185F" w:rsidP="00C655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2E29FBBA" w14:textId="1BAAC87E" w:rsidR="00724625" w:rsidRDefault="00724625" w:rsidP="00C655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49F085B8" w14:textId="47B60D53" w:rsidR="00C6552F" w:rsidRPr="00C6552F" w:rsidRDefault="00C6552F" w:rsidP="00C655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>Kidney damage which may require dialysis</w:t>
            </w:r>
          </w:p>
          <w:p w14:paraId="2B46BCDC" w14:textId="77777777" w:rsidR="0024519D" w:rsidRPr="009442C2" w:rsidRDefault="0024519D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442C2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7CCA13F8" w14:textId="12E72F22" w:rsidR="005F6621" w:rsidRDefault="00724625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lastRenderedPageBreak/>
              <w:t>Cloudiness of the eye, visual distur</w:t>
            </w:r>
            <w:r w:rsidRPr="00220098">
              <w:rPr>
                <w:rFonts w:ascii="Times New Roman" w:hAnsi="Times New Roman"/>
                <w:sz w:val="24"/>
                <w:szCs w:val="24"/>
              </w:rPr>
              <w:t>bances, blurred vision</w:t>
            </w:r>
          </w:p>
          <w:p w14:paraId="4A07EE1D" w14:textId="2D46A24E" w:rsidR="00724625" w:rsidRDefault="00724625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Glaucoma</w:t>
            </w:r>
          </w:p>
          <w:p w14:paraId="7DB321B2" w14:textId="5C209BC7" w:rsidR="00724625" w:rsidRDefault="00724625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A tear or a hole in the bowels which may cause belly pain or that may require surgery</w:t>
            </w:r>
          </w:p>
          <w:p w14:paraId="3A0C4611" w14:textId="3D148168" w:rsidR="00585A82" w:rsidRDefault="00585A82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52ED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56B55A55" w14:textId="6FCB6900" w:rsidR="00585A82" w:rsidRDefault="003D17C4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6988061B" w14:textId="040C9179" w:rsidR="00F14970" w:rsidRDefault="00F14970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Hearing loss</w:t>
            </w:r>
          </w:p>
          <w:p w14:paraId="7FF8F5C7" w14:textId="0CF9DF56" w:rsidR="003D17C4" w:rsidRDefault="003D17C4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Dehydration</w:t>
            </w:r>
          </w:p>
          <w:p w14:paraId="53C815AB" w14:textId="6F13624B" w:rsidR="0024519D" w:rsidRDefault="00724625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Heartburn</w:t>
            </w:r>
          </w:p>
          <w:p w14:paraId="4FBB51E5" w14:textId="6041985E" w:rsidR="003D17C4" w:rsidRPr="00C6552F" w:rsidRDefault="003D17C4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755A312E" w14:textId="325A3FAA" w:rsidR="00585A82" w:rsidRDefault="00585A82" w:rsidP="00585A8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19">
              <w:rPr>
                <w:rFonts w:ascii="Times New Roman" w:hAnsi="Times New Roman"/>
                <w:sz w:val="24"/>
                <w:szCs w:val="24"/>
              </w:rPr>
              <w:t>Damage</w:t>
            </w:r>
            <w:r w:rsidR="003F185F">
              <w:rPr>
                <w:rFonts w:ascii="Times New Roman" w:hAnsi="Times New Roman"/>
                <w:sz w:val="24"/>
                <w:szCs w:val="24"/>
              </w:rPr>
              <w:t>,</w:t>
            </w:r>
            <w:r w:rsidRPr="00291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85F">
              <w:rPr>
                <w:rFonts w:ascii="Times New Roman" w:hAnsi="Times New Roman"/>
                <w:sz w:val="24"/>
                <w:szCs w:val="24"/>
              </w:rPr>
              <w:t>l</w:t>
            </w:r>
            <w:r w:rsidR="003F185F" w:rsidRPr="00416FB6">
              <w:rPr>
                <w:rFonts w:ascii="Times New Roman" w:hAnsi="Times New Roman"/>
                <w:sz w:val="24"/>
                <w:szCs w:val="24"/>
              </w:rPr>
              <w:t>oss</w:t>
            </w:r>
            <w:r w:rsidR="003F185F">
              <w:rPr>
                <w:rFonts w:ascii="Times New Roman" w:hAnsi="Times New Roman"/>
                <w:sz w:val="24"/>
                <w:szCs w:val="24"/>
              </w:rPr>
              <w:t>,</w:t>
            </w:r>
            <w:r w:rsidR="003F185F" w:rsidRPr="00416FB6">
              <w:rPr>
                <w:rFonts w:ascii="Times New Roman" w:hAnsi="Times New Roman"/>
                <w:sz w:val="24"/>
                <w:szCs w:val="24"/>
              </w:rPr>
              <w:t xml:space="preserve"> or absence of sperm which may lead to an inability to father children</w:t>
            </w:r>
          </w:p>
          <w:p w14:paraId="25869948" w14:textId="77777777" w:rsidR="007D0225" w:rsidRDefault="007D0225" w:rsidP="00585A8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Enlarged breasts in prepubertal or early pubertal males</w:t>
            </w:r>
          </w:p>
          <w:p w14:paraId="14512A76" w14:textId="77777777" w:rsidR="00724625" w:rsidRPr="00220098" w:rsidRDefault="00724625" w:rsidP="0072462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Damage to the bone which may cause joint pain and loss of motion</w:t>
            </w:r>
          </w:p>
          <w:p w14:paraId="6C5357E3" w14:textId="09ACF81A" w:rsidR="007D0225" w:rsidRDefault="007D0225" w:rsidP="00585A8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>Confusion</w:t>
            </w:r>
            <w:r w:rsidR="006748BB">
              <w:rPr>
                <w:rFonts w:ascii="Times New Roman" w:hAnsi="Times New Roman"/>
                <w:sz w:val="24"/>
                <w:szCs w:val="24"/>
              </w:rPr>
              <w:t>, nervousness, nightmares, sensing things that are not there</w:t>
            </w:r>
          </w:p>
          <w:p w14:paraId="6E428FED" w14:textId="77777777" w:rsidR="006748BB" w:rsidRDefault="006748BB" w:rsidP="00585A8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Dizziness</w:t>
            </w:r>
          </w:p>
          <w:p w14:paraId="69EB88D1" w14:textId="77777777" w:rsidR="00ED7B02" w:rsidRPr="00E65286" w:rsidRDefault="00ED7B02" w:rsidP="00ED7B0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3BD713DA" w14:textId="77777777" w:rsidR="00ED7B02" w:rsidRDefault="00ED7B02" w:rsidP="00ED7B0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Weight loss</w:t>
            </w:r>
          </w:p>
          <w:p w14:paraId="1A380C3D" w14:textId="77777777" w:rsidR="00ED7B02" w:rsidRDefault="00ED7B02" w:rsidP="00ED7B0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Drooping eyelids, abnormal eye movement</w:t>
            </w:r>
          </w:p>
          <w:p w14:paraId="2DD1F4AC" w14:textId="2FB92EBB" w:rsidR="00585A82" w:rsidRPr="00E65286" w:rsidRDefault="00585A82" w:rsidP="00585A8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5286">
              <w:rPr>
                <w:rFonts w:ascii="Times New Roman" w:hAnsi="Times New Roman"/>
                <w:sz w:val="24"/>
                <w:szCs w:val="24"/>
              </w:rPr>
              <w:t>Damage to the skin which may cause pain</w:t>
            </w:r>
          </w:p>
          <w:p w14:paraId="028E9BDE" w14:textId="271288D6" w:rsidR="00585A82" w:rsidRPr="00E65286" w:rsidRDefault="00585A82" w:rsidP="00585A8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5286">
              <w:rPr>
                <w:rFonts w:ascii="Times New Roman" w:hAnsi="Times New Roman"/>
                <w:sz w:val="24"/>
                <w:szCs w:val="24"/>
              </w:rPr>
              <w:t>Darkening of the nail beds or skin or hands and feet</w:t>
            </w:r>
          </w:p>
          <w:p w14:paraId="75D7FFF1" w14:textId="33FE4AB9" w:rsidR="00585A82" w:rsidRDefault="00585A82" w:rsidP="00585A8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Darkening</w:t>
            </w:r>
            <w:r w:rsidRPr="007F5313">
              <w:rPr>
                <w:rFonts w:ascii="Times New Roman" w:hAnsi="Times New Roman"/>
                <w:sz w:val="24"/>
                <w:szCs w:val="24"/>
              </w:rPr>
              <w:t xml:space="preserve"> of the gums</w:t>
            </w:r>
          </w:p>
          <w:p w14:paraId="7B08F2F7" w14:textId="77777777" w:rsidR="00F33498" w:rsidRDefault="006748BB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6EC3">
              <w:rPr>
                <w:rFonts w:ascii="Times New Roman" w:hAnsi="Times New Roman"/>
                <w:sz w:val="24"/>
                <w:szCs w:val="24"/>
              </w:rPr>
              <w:t xml:space="preserve">A new cancer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(including leukemia) </w:t>
            </w:r>
            <w:r w:rsidRPr="00ED6EC3">
              <w:rPr>
                <w:rFonts w:ascii="Times New Roman" w:hAnsi="Times New Roman"/>
                <w:sz w:val="24"/>
                <w:szCs w:val="24"/>
              </w:rPr>
              <w:t>resulting from treatment of a prior cancer</w:t>
            </w:r>
          </w:p>
          <w:p w14:paraId="3DF4217B" w14:textId="215DF714" w:rsidR="00724625" w:rsidRPr="00C6552F" w:rsidRDefault="00724625" w:rsidP="0024519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Non-healing wound</w:t>
            </w:r>
          </w:p>
        </w:tc>
      </w:tr>
    </w:tbl>
    <w:p w14:paraId="17DD5283" w14:textId="77777777" w:rsidR="00292DC1" w:rsidRPr="00D9793D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7C52ED" w14:paraId="601A4F9B" w14:textId="77777777" w:rsidTr="003A599A">
        <w:trPr>
          <w:cantSplit/>
          <w:tblHeader/>
        </w:trPr>
        <w:tc>
          <w:tcPr>
            <w:tcW w:w="10615" w:type="dxa"/>
          </w:tcPr>
          <w:p w14:paraId="20B3340C" w14:textId="77777777" w:rsidR="00460607" w:rsidRPr="00D9793D" w:rsidRDefault="00460607" w:rsidP="007C52ED">
            <w:pPr>
              <w:jc w:val="center"/>
              <w:rPr>
                <w:rStyle w:val="Strong"/>
              </w:rPr>
            </w:pPr>
            <w:r w:rsidRPr="00D9793D">
              <w:rPr>
                <w:rStyle w:val="Strong"/>
              </w:rPr>
              <w:t>RARE, AND SERIOUS</w:t>
            </w:r>
          </w:p>
          <w:p w14:paraId="15E07CA4" w14:textId="68FC0969" w:rsidR="00704B3C" w:rsidRPr="007C52ED" w:rsidRDefault="00460607" w:rsidP="001B7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2ED">
              <w:rPr>
                <w:rFonts w:ascii="Times New Roman" w:hAnsi="Times New Roman"/>
                <w:sz w:val="24"/>
                <w:szCs w:val="24"/>
              </w:rPr>
              <w:t xml:space="preserve">In 100 people receiving Bleomycin, </w:t>
            </w:r>
            <w:r w:rsidR="005F6621">
              <w:rPr>
                <w:rFonts w:ascii="Times New Roman" w:hAnsi="Times New Roman"/>
                <w:sz w:val="24"/>
                <w:szCs w:val="24"/>
              </w:rPr>
              <w:t xml:space="preserve">Etoposide, </w:t>
            </w:r>
            <w:r w:rsidR="00162F11">
              <w:rPr>
                <w:rFonts w:ascii="Times New Roman" w:hAnsi="Times New Roman"/>
                <w:sz w:val="24"/>
                <w:szCs w:val="24"/>
              </w:rPr>
              <w:t>Doxorubicin</w:t>
            </w:r>
            <w:r w:rsidR="003F185F">
              <w:rPr>
                <w:rFonts w:ascii="Times New Roman" w:hAnsi="Times New Roman"/>
                <w:sz w:val="24"/>
                <w:szCs w:val="24"/>
              </w:rPr>
              <w:t>, Cyclophosphamide,</w:t>
            </w:r>
            <w:r w:rsidR="00162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DEB">
              <w:rPr>
                <w:rFonts w:ascii="Times New Roman" w:hAnsi="Times New Roman"/>
                <w:sz w:val="24"/>
                <w:szCs w:val="24"/>
              </w:rPr>
              <w:t>Vincristine</w:t>
            </w:r>
            <w:r w:rsidR="007E15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E15FA" w:rsidRPr="007E15FA">
              <w:rPr>
                <w:rFonts w:ascii="Times New Roman" w:hAnsi="Times New Roman"/>
                <w:sz w:val="24"/>
                <w:szCs w:val="24"/>
              </w:rPr>
              <w:t>Procarbazine, and Prednisone (BEACOPP)</w:t>
            </w:r>
            <w:r w:rsidR="004A3D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C52ED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7C52ED" w14:paraId="269C11E6" w14:textId="77777777" w:rsidTr="003A599A">
        <w:tc>
          <w:tcPr>
            <w:tcW w:w="10615" w:type="dxa"/>
          </w:tcPr>
          <w:p w14:paraId="77514E19" w14:textId="77777777" w:rsidR="00E56BED" w:rsidRPr="00C6552F" w:rsidRDefault="00E56BED" w:rsidP="00E56BE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>Stroke which may cause paralysis, weakness, headache</w:t>
            </w:r>
          </w:p>
          <w:p w14:paraId="78B42594" w14:textId="77777777" w:rsidR="004A3DEB" w:rsidRPr="007B70B8" w:rsidRDefault="004A3DEB" w:rsidP="004A3DE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3212A244" w14:textId="3A46D536" w:rsidR="004A3DEB" w:rsidRPr="007B70B8" w:rsidRDefault="004A3DEB" w:rsidP="004A3DE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C</w:t>
            </w:r>
            <w:r w:rsidR="006748BB">
              <w:rPr>
                <w:rFonts w:ascii="Times New Roman" w:hAnsi="Times New Roman"/>
                <w:sz w:val="24"/>
                <w:szCs w:val="24"/>
              </w:rPr>
              <w:t>onvulsions, abnormal body movement, 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oma</w:t>
            </w:r>
          </w:p>
          <w:p w14:paraId="148E7EC5" w14:textId="330552E8" w:rsidR="00E56BED" w:rsidRDefault="003F185F" w:rsidP="007C52E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Sinusodial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obstructive syndrome (SOS) which may cause damage to the l</w:t>
            </w:r>
            <w:r w:rsidR="00E56BED" w:rsidRPr="00C6552F">
              <w:rPr>
                <w:rFonts w:ascii="Times New Roman" w:hAnsi="Times New Roman"/>
                <w:sz w:val="24"/>
                <w:szCs w:val="24"/>
              </w:rPr>
              <w:t>iver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56BED" w:rsidRPr="00C65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E56BED" w:rsidRPr="00C6552F">
              <w:rPr>
                <w:rFonts w:ascii="Times New Roman" w:hAnsi="Times New Roman"/>
                <w:sz w:val="24"/>
                <w:szCs w:val="24"/>
              </w:rPr>
              <w:t>ellowing of eyes and skin, swelling</w:t>
            </w:r>
          </w:p>
          <w:p w14:paraId="2B938352" w14:textId="19D4B647" w:rsidR="005F6621" w:rsidRDefault="005F6621" w:rsidP="005F662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BB1">
              <w:rPr>
                <w:rFonts w:ascii="Times New Roman" w:hAnsi="Times New Roman"/>
                <w:sz w:val="24"/>
                <w:szCs w:val="24"/>
              </w:rPr>
              <w:t>Blurred vision with chance of blindness</w:t>
            </w:r>
          </w:p>
          <w:p w14:paraId="10617AF8" w14:textId="791D1916" w:rsidR="006748BB" w:rsidRDefault="006748BB" w:rsidP="005F662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Visual disturbances, discomfort from light</w:t>
            </w:r>
          </w:p>
          <w:p w14:paraId="64279FA7" w14:textId="5D3B58CE" w:rsidR="00484AF6" w:rsidRDefault="00484AF6" w:rsidP="005F662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Bleeding from sores in the stomach</w:t>
            </w:r>
          </w:p>
          <w:p w14:paraId="48CAB6AB" w14:textId="23CEA42D" w:rsidR="00484AF6" w:rsidRDefault="00484AF6" w:rsidP="005F662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Broken bones</w:t>
            </w:r>
          </w:p>
          <w:p w14:paraId="6C6CD7B4" w14:textId="4CC2B1B1" w:rsidR="005F6621" w:rsidRPr="007C52ED" w:rsidRDefault="005F6621" w:rsidP="005F662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</w:t>
            </w:r>
            <w:r>
              <w:rPr>
                <w:rFonts w:ascii="Times New Roman" w:hAnsi="Times New Roman"/>
                <w:sz w:val="24"/>
                <w:szCs w:val="24"/>
              </w:rPr>
              <w:t>uth and other parts of the body</w:t>
            </w:r>
          </w:p>
        </w:tc>
      </w:tr>
    </w:tbl>
    <w:p w14:paraId="4C67619F" w14:textId="77777777" w:rsidR="005E697B" w:rsidRPr="00D9793D" w:rsidRDefault="005E697B" w:rsidP="00460607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D9793D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318A" w14:textId="77777777" w:rsidR="00C11B23" w:rsidRDefault="00C11B23" w:rsidP="00D616D5">
      <w:r>
        <w:separator/>
      </w:r>
    </w:p>
  </w:endnote>
  <w:endnote w:type="continuationSeparator" w:id="0">
    <w:p w14:paraId="76822696" w14:textId="77777777" w:rsidR="00C11B23" w:rsidRDefault="00C11B23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4D6F" w14:textId="77777777" w:rsidR="00EF6A8F" w:rsidRDefault="00EF6A8F" w:rsidP="00921AE0">
    <w:pPr>
      <w:pStyle w:val="Footer"/>
      <w:jc w:val="center"/>
      <w:rPr>
        <w:sz w:val="18"/>
      </w:rPr>
    </w:pPr>
    <w:r w:rsidRPr="00D9793D">
      <w:rPr>
        <w:rFonts w:ascii="Times New Roman" w:hAnsi="Times New Roman"/>
        <w:sz w:val="24"/>
        <w:szCs w:val="24"/>
      </w:rPr>
      <w:t xml:space="preserve">Page </w:t>
    </w:r>
    <w:r w:rsidRPr="00D9793D">
      <w:rPr>
        <w:rFonts w:ascii="Times New Roman" w:hAnsi="Times New Roman"/>
        <w:b/>
        <w:sz w:val="24"/>
        <w:szCs w:val="24"/>
      </w:rPr>
      <w:fldChar w:fldCharType="begin"/>
    </w:r>
    <w:r w:rsidRPr="00D9793D">
      <w:rPr>
        <w:rFonts w:ascii="Times New Roman" w:hAnsi="Times New Roman"/>
        <w:b/>
        <w:sz w:val="24"/>
        <w:szCs w:val="24"/>
      </w:rPr>
      <w:instrText xml:space="preserve"> PAGE </w:instrText>
    </w:r>
    <w:r w:rsidRPr="00D9793D">
      <w:rPr>
        <w:rFonts w:ascii="Times New Roman" w:hAnsi="Times New Roman"/>
        <w:b/>
        <w:sz w:val="24"/>
        <w:szCs w:val="24"/>
      </w:rPr>
      <w:fldChar w:fldCharType="separate"/>
    </w:r>
    <w:r w:rsidR="007845F4">
      <w:rPr>
        <w:rFonts w:ascii="Times New Roman" w:hAnsi="Times New Roman"/>
        <w:b/>
        <w:noProof/>
        <w:sz w:val="24"/>
        <w:szCs w:val="24"/>
      </w:rPr>
      <w:t>1</w:t>
    </w:r>
    <w:r w:rsidRPr="00D9793D">
      <w:rPr>
        <w:rFonts w:ascii="Times New Roman" w:hAnsi="Times New Roman"/>
        <w:b/>
        <w:sz w:val="24"/>
        <w:szCs w:val="24"/>
      </w:rPr>
      <w:fldChar w:fldCharType="end"/>
    </w:r>
    <w:r w:rsidRPr="00D9793D">
      <w:rPr>
        <w:rFonts w:ascii="Times New Roman" w:hAnsi="Times New Roman"/>
        <w:sz w:val="24"/>
        <w:szCs w:val="24"/>
      </w:rPr>
      <w:t xml:space="preserve"> of </w:t>
    </w:r>
    <w:r w:rsidRPr="00D9793D">
      <w:rPr>
        <w:rFonts w:ascii="Times New Roman" w:hAnsi="Times New Roman"/>
        <w:b/>
        <w:sz w:val="24"/>
        <w:szCs w:val="24"/>
      </w:rPr>
      <w:fldChar w:fldCharType="begin"/>
    </w:r>
    <w:r w:rsidRPr="00D9793D">
      <w:rPr>
        <w:rFonts w:ascii="Times New Roman" w:hAnsi="Times New Roman"/>
        <w:b/>
        <w:sz w:val="24"/>
        <w:szCs w:val="24"/>
      </w:rPr>
      <w:instrText xml:space="preserve"> NUMPAGES  </w:instrText>
    </w:r>
    <w:r w:rsidRPr="00D9793D">
      <w:rPr>
        <w:rFonts w:ascii="Times New Roman" w:hAnsi="Times New Roman"/>
        <w:b/>
        <w:sz w:val="24"/>
        <w:szCs w:val="24"/>
      </w:rPr>
      <w:fldChar w:fldCharType="separate"/>
    </w:r>
    <w:r w:rsidR="007845F4">
      <w:rPr>
        <w:rFonts w:ascii="Times New Roman" w:hAnsi="Times New Roman"/>
        <w:b/>
        <w:noProof/>
        <w:sz w:val="24"/>
        <w:szCs w:val="24"/>
      </w:rPr>
      <w:t>1</w:t>
    </w:r>
    <w:r w:rsidRPr="00D9793D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1B9C" w14:textId="77777777" w:rsidR="00C11B23" w:rsidRDefault="00C11B23" w:rsidP="00D616D5">
      <w:r>
        <w:separator/>
      </w:r>
    </w:p>
  </w:footnote>
  <w:footnote w:type="continuationSeparator" w:id="0">
    <w:p w14:paraId="71AD9F51" w14:textId="77777777" w:rsidR="00C11B23" w:rsidRDefault="00C11B23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215EE"/>
    <w:rsid w:val="000278D3"/>
    <w:rsid w:val="0004017A"/>
    <w:rsid w:val="00061659"/>
    <w:rsid w:val="00064F30"/>
    <w:rsid w:val="0007120C"/>
    <w:rsid w:val="00071F39"/>
    <w:rsid w:val="00077AA3"/>
    <w:rsid w:val="00077F92"/>
    <w:rsid w:val="000A4D66"/>
    <w:rsid w:val="000A7BA2"/>
    <w:rsid w:val="000B04E2"/>
    <w:rsid w:val="000C0616"/>
    <w:rsid w:val="000C3C6E"/>
    <w:rsid w:val="000E3C1B"/>
    <w:rsid w:val="000F0006"/>
    <w:rsid w:val="000F4B93"/>
    <w:rsid w:val="00113B06"/>
    <w:rsid w:val="001141FC"/>
    <w:rsid w:val="00114D95"/>
    <w:rsid w:val="00140780"/>
    <w:rsid w:val="00146229"/>
    <w:rsid w:val="00154A9F"/>
    <w:rsid w:val="00162D4A"/>
    <w:rsid w:val="00162F11"/>
    <w:rsid w:val="00174AF5"/>
    <w:rsid w:val="00175EF2"/>
    <w:rsid w:val="001853E9"/>
    <w:rsid w:val="001B70F4"/>
    <w:rsid w:val="001B7937"/>
    <w:rsid w:val="001C656A"/>
    <w:rsid w:val="001D3EAE"/>
    <w:rsid w:val="001F1D04"/>
    <w:rsid w:val="001F377B"/>
    <w:rsid w:val="001F70ED"/>
    <w:rsid w:val="00204D55"/>
    <w:rsid w:val="0021183C"/>
    <w:rsid w:val="00213C67"/>
    <w:rsid w:val="00220220"/>
    <w:rsid w:val="00227765"/>
    <w:rsid w:val="0024519D"/>
    <w:rsid w:val="00254B61"/>
    <w:rsid w:val="00263377"/>
    <w:rsid w:val="00282E4D"/>
    <w:rsid w:val="00284EA6"/>
    <w:rsid w:val="00290B6D"/>
    <w:rsid w:val="00292DC1"/>
    <w:rsid w:val="00296F67"/>
    <w:rsid w:val="002D3374"/>
    <w:rsid w:val="002E2B91"/>
    <w:rsid w:val="002E3761"/>
    <w:rsid w:val="002E5788"/>
    <w:rsid w:val="002E632B"/>
    <w:rsid w:val="002E64C6"/>
    <w:rsid w:val="00302965"/>
    <w:rsid w:val="00311215"/>
    <w:rsid w:val="00320B9B"/>
    <w:rsid w:val="00322991"/>
    <w:rsid w:val="003333A5"/>
    <w:rsid w:val="00340585"/>
    <w:rsid w:val="003405BC"/>
    <w:rsid w:val="00342AF1"/>
    <w:rsid w:val="00347FDF"/>
    <w:rsid w:val="00353D34"/>
    <w:rsid w:val="00356CAA"/>
    <w:rsid w:val="0035739C"/>
    <w:rsid w:val="00362676"/>
    <w:rsid w:val="003639F2"/>
    <w:rsid w:val="0037281F"/>
    <w:rsid w:val="0037627B"/>
    <w:rsid w:val="00382F7A"/>
    <w:rsid w:val="003A5162"/>
    <w:rsid w:val="003A599A"/>
    <w:rsid w:val="003B4930"/>
    <w:rsid w:val="003C24FC"/>
    <w:rsid w:val="003C4F24"/>
    <w:rsid w:val="003D17C4"/>
    <w:rsid w:val="003D1820"/>
    <w:rsid w:val="003E7BC2"/>
    <w:rsid w:val="003F185F"/>
    <w:rsid w:val="003F1A3E"/>
    <w:rsid w:val="00406BC9"/>
    <w:rsid w:val="004070D8"/>
    <w:rsid w:val="00421B14"/>
    <w:rsid w:val="0043305B"/>
    <w:rsid w:val="00433260"/>
    <w:rsid w:val="00453117"/>
    <w:rsid w:val="00460607"/>
    <w:rsid w:val="00460EAA"/>
    <w:rsid w:val="00467A3F"/>
    <w:rsid w:val="00470B4B"/>
    <w:rsid w:val="00484AF6"/>
    <w:rsid w:val="00490446"/>
    <w:rsid w:val="00492DAA"/>
    <w:rsid w:val="004A3DEB"/>
    <w:rsid w:val="004B473F"/>
    <w:rsid w:val="004B6F10"/>
    <w:rsid w:val="004C0E5F"/>
    <w:rsid w:val="004E7616"/>
    <w:rsid w:val="004F4E69"/>
    <w:rsid w:val="005169CE"/>
    <w:rsid w:val="005248B0"/>
    <w:rsid w:val="005250B8"/>
    <w:rsid w:val="00525D15"/>
    <w:rsid w:val="00531C53"/>
    <w:rsid w:val="0053603B"/>
    <w:rsid w:val="005370A4"/>
    <w:rsid w:val="005526E0"/>
    <w:rsid w:val="00560BC4"/>
    <w:rsid w:val="005643B9"/>
    <w:rsid w:val="0058001F"/>
    <w:rsid w:val="005843E3"/>
    <w:rsid w:val="0058456A"/>
    <w:rsid w:val="00585A82"/>
    <w:rsid w:val="0059666C"/>
    <w:rsid w:val="005A11F2"/>
    <w:rsid w:val="005C33F5"/>
    <w:rsid w:val="005D2510"/>
    <w:rsid w:val="005D3299"/>
    <w:rsid w:val="005E535D"/>
    <w:rsid w:val="005E697B"/>
    <w:rsid w:val="005F6621"/>
    <w:rsid w:val="00603326"/>
    <w:rsid w:val="00615699"/>
    <w:rsid w:val="006165AA"/>
    <w:rsid w:val="006356F4"/>
    <w:rsid w:val="00635A3B"/>
    <w:rsid w:val="00640A3D"/>
    <w:rsid w:val="00650D65"/>
    <w:rsid w:val="006518DB"/>
    <w:rsid w:val="006676FF"/>
    <w:rsid w:val="006748BB"/>
    <w:rsid w:val="00675B40"/>
    <w:rsid w:val="006813CF"/>
    <w:rsid w:val="00690580"/>
    <w:rsid w:val="006916A7"/>
    <w:rsid w:val="0069502D"/>
    <w:rsid w:val="006A0F79"/>
    <w:rsid w:val="006C0E23"/>
    <w:rsid w:val="006C34B7"/>
    <w:rsid w:val="006D2E77"/>
    <w:rsid w:val="006E3296"/>
    <w:rsid w:val="006E55A0"/>
    <w:rsid w:val="006E6422"/>
    <w:rsid w:val="006F1FEB"/>
    <w:rsid w:val="00704B3C"/>
    <w:rsid w:val="00705218"/>
    <w:rsid w:val="007061D0"/>
    <w:rsid w:val="007166FE"/>
    <w:rsid w:val="00724625"/>
    <w:rsid w:val="00737FDD"/>
    <w:rsid w:val="0074044C"/>
    <w:rsid w:val="007428C8"/>
    <w:rsid w:val="00746E63"/>
    <w:rsid w:val="00747F78"/>
    <w:rsid w:val="007528F5"/>
    <w:rsid w:val="007717B2"/>
    <w:rsid w:val="00781E6C"/>
    <w:rsid w:val="007845F4"/>
    <w:rsid w:val="00784C65"/>
    <w:rsid w:val="007879BD"/>
    <w:rsid w:val="00795A56"/>
    <w:rsid w:val="007A24C0"/>
    <w:rsid w:val="007A32EA"/>
    <w:rsid w:val="007A33AD"/>
    <w:rsid w:val="007A6EFE"/>
    <w:rsid w:val="007B04C0"/>
    <w:rsid w:val="007B5F6F"/>
    <w:rsid w:val="007C52ED"/>
    <w:rsid w:val="007C7659"/>
    <w:rsid w:val="007D0225"/>
    <w:rsid w:val="007D4757"/>
    <w:rsid w:val="007E0F59"/>
    <w:rsid w:val="007E15FA"/>
    <w:rsid w:val="0080492A"/>
    <w:rsid w:val="00845FA3"/>
    <w:rsid w:val="00856FD4"/>
    <w:rsid w:val="008761ED"/>
    <w:rsid w:val="0089035C"/>
    <w:rsid w:val="00890573"/>
    <w:rsid w:val="0089290F"/>
    <w:rsid w:val="00896C32"/>
    <w:rsid w:val="008B37F8"/>
    <w:rsid w:val="008C2248"/>
    <w:rsid w:val="008D3A8C"/>
    <w:rsid w:val="008F2B89"/>
    <w:rsid w:val="009113C1"/>
    <w:rsid w:val="00921AE0"/>
    <w:rsid w:val="009250EC"/>
    <w:rsid w:val="00931646"/>
    <w:rsid w:val="00934707"/>
    <w:rsid w:val="009442C2"/>
    <w:rsid w:val="009451C5"/>
    <w:rsid w:val="00952015"/>
    <w:rsid w:val="00961963"/>
    <w:rsid w:val="00981790"/>
    <w:rsid w:val="009C7925"/>
    <w:rsid w:val="009E56C7"/>
    <w:rsid w:val="00A0453F"/>
    <w:rsid w:val="00A0718F"/>
    <w:rsid w:val="00A22015"/>
    <w:rsid w:val="00A30632"/>
    <w:rsid w:val="00A53CF8"/>
    <w:rsid w:val="00A573A0"/>
    <w:rsid w:val="00A57484"/>
    <w:rsid w:val="00A70D91"/>
    <w:rsid w:val="00A77C12"/>
    <w:rsid w:val="00A87D3D"/>
    <w:rsid w:val="00AB724B"/>
    <w:rsid w:val="00AB796E"/>
    <w:rsid w:val="00AD1F5D"/>
    <w:rsid w:val="00AD2CF9"/>
    <w:rsid w:val="00AD55BA"/>
    <w:rsid w:val="00AD7352"/>
    <w:rsid w:val="00AE185D"/>
    <w:rsid w:val="00AE4F25"/>
    <w:rsid w:val="00AE5E3C"/>
    <w:rsid w:val="00B30CFF"/>
    <w:rsid w:val="00B355D5"/>
    <w:rsid w:val="00B43295"/>
    <w:rsid w:val="00B43E23"/>
    <w:rsid w:val="00BA07A9"/>
    <w:rsid w:val="00BA6478"/>
    <w:rsid w:val="00BB58D2"/>
    <w:rsid w:val="00BC0303"/>
    <w:rsid w:val="00BC1CEF"/>
    <w:rsid w:val="00BD7BC2"/>
    <w:rsid w:val="00BE518F"/>
    <w:rsid w:val="00C0263A"/>
    <w:rsid w:val="00C0431A"/>
    <w:rsid w:val="00C06703"/>
    <w:rsid w:val="00C07A39"/>
    <w:rsid w:val="00C11B23"/>
    <w:rsid w:val="00C1216C"/>
    <w:rsid w:val="00C1454B"/>
    <w:rsid w:val="00C37EFF"/>
    <w:rsid w:val="00C4151E"/>
    <w:rsid w:val="00C50E0C"/>
    <w:rsid w:val="00C6552F"/>
    <w:rsid w:val="00C66520"/>
    <w:rsid w:val="00C8687C"/>
    <w:rsid w:val="00C97834"/>
    <w:rsid w:val="00CA64D5"/>
    <w:rsid w:val="00CB118B"/>
    <w:rsid w:val="00CC095B"/>
    <w:rsid w:val="00CC7716"/>
    <w:rsid w:val="00CC7B47"/>
    <w:rsid w:val="00CD07CA"/>
    <w:rsid w:val="00CD1D85"/>
    <w:rsid w:val="00CF566C"/>
    <w:rsid w:val="00D066CC"/>
    <w:rsid w:val="00D125FC"/>
    <w:rsid w:val="00D13FF8"/>
    <w:rsid w:val="00D148A5"/>
    <w:rsid w:val="00D14E01"/>
    <w:rsid w:val="00D15A25"/>
    <w:rsid w:val="00D17AEE"/>
    <w:rsid w:val="00D20D27"/>
    <w:rsid w:val="00D33DA2"/>
    <w:rsid w:val="00D4096C"/>
    <w:rsid w:val="00D50973"/>
    <w:rsid w:val="00D5162C"/>
    <w:rsid w:val="00D53134"/>
    <w:rsid w:val="00D616D5"/>
    <w:rsid w:val="00D62BBA"/>
    <w:rsid w:val="00D77CE0"/>
    <w:rsid w:val="00D8277C"/>
    <w:rsid w:val="00D84829"/>
    <w:rsid w:val="00D94D6C"/>
    <w:rsid w:val="00D950E2"/>
    <w:rsid w:val="00D9793D"/>
    <w:rsid w:val="00DA069D"/>
    <w:rsid w:val="00DA0A81"/>
    <w:rsid w:val="00DA234E"/>
    <w:rsid w:val="00DA313C"/>
    <w:rsid w:val="00DB0602"/>
    <w:rsid w:val="00DC5C9F"/>
    <w:rsid w:val="00E020A2"/>
    <w:rsid w:val="00E30392"/>
    <w:rsid w:val="00E329AC"/>
    <w:rsid w:val="00E430ED"/>
    <w:rsid w:val="00E4554B"/>
    <w:rsid w:val="00E4720A"/>
    <w:rsid w:val="00E535EA"/>
    <w:rsid w:val="00E56BED"/>
    <w:rsid w:val="00E57999"/>
    <w:rsid w:val="00E708C8"/>
    <w:rsid w:val="00E77AFB"/>
    <w:rsid w:val="00EA2F5D"/>
    <w:rsid w:val="00EB1B2D"/>
    <w:rsid w:val="00EB2782"/>
    <w:rsid w:val="00EB45C7"/>
    <w:rsid w:val="00EC0597"/>
    <w:rsid w:val="00ED5853"/>
    <w:rsid w:val="00ED7B02"/>
    <w:rsid w:val="00EE3A99"/>
    <w:rsid w:val="00EF6A8F"/>
    <w:rsid w:val="00EF6E44"/>
    <w:rsid w:val="00F047D1"/>
    <w:rsid w:val="00F14970"/>
    <w:rsid w:val="00F20592"/>
    <w:rsid w:val="00F265AB"/>
    <w:rsid w:val="00F33498"/>
    <w:rsid w:val="00F40893"/>
    <w:rsid w:val="00F54A02"/>
    <w:rsid w:val="00FA0CB1"/>
    <w:rsid w:val="00FB0184"/>
    <w:rsid w:val="00FC5C3A"/>
    <w:rsid w:val="00FC5C60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9B02F"/>
  <w15:chartTrackingRefBased/>
  <w15:docId w15:val="{27F257FD-25CD-4DA5-B69D-C7A5B1E3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D6C"/>
    <w:pPr>
      <w:jc w:val="left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D94D6C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E5E3C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350CEF4-C164-4217-9816-F7412DFBC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4C030-E589-4D30-AC42-16B5992221E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Bleomycin, Etoposide, Doxorubicin, Cyclophosphamide, Vincristine, Procarbazine, and Prednisone (BEACOPP)</vt:lpstr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Bleomycin, Etoposide, Doxorubicin, Cyclophosphamide, Vincristine, Procarbazine, and Prednisone (BEACOPP)</dc:title>
  <dc:subject>Possible Side Effects of Bleomycin, Etoposide, Doxorubicin, Cyclophosphamide, Vincristine, Procarbazine, and Prednisone (BEACOPP)</dc:subject>
  <dc:creator>HHS/DCTD/CTEP</dc:creator>
  <cp:keywords>Possible Side Effects, Bleomycin, Etoposide, Doxorubicin, Cyclophosphamide, Vincristine, Procarbazine, Prednisone, BEACOPP</cp:keywords>
  <cp:lastModifiedBy>Williams, Christopher (NIH/NCI) [C]</cp:lastModifiedBy>
  <cp:revision>7</cp:revision>
  <cp:lastPrinted>2011-11-22T20:54:00Z</cp:lastPrinted>
  <dcterms:created xsi:type="dcterms:W3CDTF">2022-03-23T04:20:00Z</dcterms:created>
  <dcterms:modified xsi:type="dcterms:W3CDTF">2022-03-23T05:29:00Z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