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CD8B72" w14:textId="06478366" w:rsidR="006C78F1" w:rsidRPr="00B34155" w:rsidRDefault="007A7412" w:rsidP="0055638F">
      <w:pPr>
        <w:pStyle w:val="Heading1"/>
      </w:pPr>
      <w:r>
        <w:t xml:space="preserve">Investigational Agents and Regimens That Are Also Commercially Available: </w:t>
      </w:r>
      <w:r w:rsidR="00643CC8" w:rsidRPr="00B34155">
        <w:t>I</w:t>
      </w:r>
      <w:r w:rsidR="006C78F1" w:rsidRPr="00B34155">
        <w:t xml:space="preserve">nstructions for Building </w:t>
      </w:r>
      <w:r w:rsidR="00771548" w:rsidRPr="00B34155">
        <w:t>“</w:t>
      </w:r>
      <w:r w:rsidR="00B12463" w:rsidRPr="00B34155">
        <w:t>Possible Side Effects” Tables</w:t>
      </w:r>
      <w:r w:rsidR="00DC6514">
        <w:t xml:space="preserve"> (Risk Lists)</w:t>
      </w:r>
      <w:r w:rsidR="00B12463" w:rsidRPr="00B34155">
        <w:t xml:space="preserve"> </w:t>
      </w:r>
      <w:r w:rsidR="006C78F1" w:rsidRPr="00B34155">
        <w:t>for Informed Consent Forms</w:t>
      </w:r>
    </w:p>
    <w:p w14:paraId="5FC45F01" w14:textId="1E85F643" w:rsidR="00062D76" w:rsidRPr="00B34155" w:rsidRDefault="00FE659D" w:rsidP="00AD2CEB">
      <w:pPr>
        <w:pStyle w:val="Footer"/>
        <w:spacing w:after="200" w:line="276" w:lineRule="auto"/>
        <w:jc w:val="center"/>
        <w:rPr>
          <w:szCs w:val="24"/>
        </w:rPr>
      </w:pPr>
      <w:r w:rsidRPr="00B34155">
        <w:rPr>
          <w:szCs w:val="24"/>
        </w:rPr>
        <w:t xml:space="preserve">Instructions </w:t>
      </w:r>
      <w:r w:rsidR="00062D76" w:rsidRPr="00B34155">
        <w:rPr>
          <w:szCs w:val="24"/>
        </w:rPr>
        <w:t>Version</w:t>
      </w:r>
      <w:r w:rsidRPr="00B34155">
        <w:rPr>
          <w:szCs w:val="24"/>
        </w:rPr>
        <w:t xml:space="preserve"> Date</w:t>
      </w:r>
      <w:r w:rsidR="00062D76" w:rsidRPr="00B34155">
        <w:rPr>
          <w:szCs w:val="24"/>
        </w:rPr>
        <w:t xml:space="preserve">: </w:t>
      </w:r>
      <w:r w:rsidR="007A7412">
        <w:rPr>
          <w:szCs w:val="24"/>
        </w:rPr>
        <w:t>2025</w:t>
      </w:r>
      <w:r w:rsidR="00D634E8">
        <w:rPr>
          <w:szCs w:val="24"/>
        </w:rPr>
        <w:t xml:space="preserve"> </w:t>
      </w:r>
      <w:r w:rsidR="005D2B81" w:rsidRPr="00331C61">
        <w:rPr>
          <w:i/>
          <w:iCs/>
          <w:color w:val="000000"/>
          <w:szCs w:val="24"/>
        </w:rPr>
        <w:t>(website references updated June 2025)</w:t>
      </w:r>
    </w:p>
    <w:p w14:paraId="0B7D8A8C" w14:textId="77777777" w:rsidR="00AA0DBF" w:rsidRDefault="006C78F1" w:rsidP="00A33130">
      <w:pPr>
        <w:rPr>
          <w:color w:val="000000"/>
          <w:szCs w:val="24"/>
        </w:rPr>
      </w:pPr>
      <w:r w:rsidRPr="00B34155">
        <w:rPr>
          <w:color w:val="000000"/>
          <w:szCs w:val="24"/>
          <w:u w:val="single"/>
        </w:rPr>
        <w:t>Note to informed consent form authors</w:t>
      </w:r>
      <w:r w:rsidRPr="00B34155">
        <w:rPr>
          <w:color w:val="000000"/>
          <w:szCs w:val="24"/>
        </w:rPr>
        <w:t xml:space="preserve">: </w:t>
      </w:r>
      <w:r w:rsidR="003935C3" w:rsidRPr="00B34155">
        <w:rPr>
          <w:color w:val="000000"/>
          <w:szCs w:val="24"/>
        </w:rPr>
        <w:t>T</w:t>
      </w:r>
      <w:r w:rsidR="00CD1B54" w:rsidRPr="00B34155">
        <w:rPr>
          <w:color w:val="000000"/>
          <w:szCs w:val="24"/>
        </w:rPr>
        <w:t>here are many references that can provide reli</w:t>
      </w:r>
      <w:r w:rsidR="003F06F1" w:rsidRPr="00B34155">
        <w:rPr>
          <w:color w:val="000000"/>
          <w:szCs w:val="24"/>
        </w:rPr>
        <w:t xml:space="preserve">able and accurate </w:t>
      </w:r>
      <w:r w:rsidR="000A6F22">
        <w:rPr>
          <w:color w:val="000000"/>
          <w:szCs w:val="24"/>
        </w:rPr>
        <w:t xml:space="preserve">adverse event </w:t>
      </w:r>
      <w:r w:rsidR="003F06F1" w:rsidRPr="00B34155">
        <w:rPr>
          <w:color w:val="000000"/>
          <w:szCs w:val="24"/>
        </w:rPr>
        <w:t>risk profiles</w:t>
      </w:r>
      <w:r w:rsidR="000A6F22">
        <w:rPr>
          <w:color w:val="000000"/>
          <w:szCs w:val="24"/>
        </w:rPr>
        <w:t xml:space="preserve"> for anticancer agents and regimens</w:t>
      </w:r>
      <w:r w:rsidR="003F06F1" w:rsidRPr="00B34155">
        <w:rPr>
          <w:color w:val="000000"/>
          <w:szCs w:val="24"/>
        </w:rPr>
        <w:t>.</w:t>
      </w:r>
      <w:r w:rsidR="002A6B06">
        <w:rPr>
          <w:color w:val="000000"/>
          <w:szCs w:val="24"/>
        </w:rPr>
        <w:t xml:space="preserve">  </w:t>
      </w:r>
      <w:r w:rsidR="00355AFF">
        <w:t xml:space="preserve">The following instructions are general procedures the NCI developed and utilizes for building its </w:t>
      </w:r>
      <w:r w:rsidR="000354EB">
        <w:t>T</w:t>
      </w:r>
      <w:r w:rsidR="004856C6">
        <w:t>ables</w:t>
      </w:r>
      <w:r w:rsidR="000354EB">
        <w:t xml:space="preserve"> of </w:t>
      </w:r>
      <w:r w:rsidR="00355AFF">
        <w:t xml:space="preserve">Possible Side Effects </w:t>
      </w:r>
      <w:r w:rsidR="000354EB">
        <w:t xml:space="preserve">(risk </w:t>
      </w:r>
      <w:r w:rsidR="00AF4E7A">
        <w:t>lists</w:t>
      </w:r>
      <w:r w:rsidR="000354EB">
        <w:t xml:space="preserve">) </w:t>
      </w:r>
      <w:r w:rsidR="00355AFF">
        <w:t xml:space="preserve">for </w:t>
      </w:r>
      <w:r w:rsidR="00DC6514">
        <w:t xml:space="preserve">commercial </w:t>
      </w:r>
      <w:r w:rsidR="00355AFF">
        <w:t xml:space="preserve">anticancer agents and regimens. Depending on an organization’s circumstances or needs, modified procedures or other processes may be more suitable or used.  </w:t>
      </w:r>
      <w:r w:rsidR="000A6F22">
        <w:rPr>
          <w:color w:val="000000"/>
          <w:szCs w:val="24"/>
        </w:rPr>
        <w:t>In 2021</w:t>
      </w:r>
      <w:r w:rsidR="00F46363">
        <w:rPr>
          <w:color w:val="000000"/>
          <w:szCs w:val="24"/>
        </w:rPr>
        <w:t>, upon recommendations by the CTEP Pharmaceutical Management Branch at NCI,</w:t>
      </w:r>
      <w:r w:rsidR="000A6F22">
        <w:rPr>
          <w:color w:val="000000"/>
          <w:szCs w:val="24"/>
        </w:rPr>
        <w:t xml:space="preserve"> the NCI began to rely primarily on the </w:t>
      </w:r>
      <w:r w:rsidR="00AA0DBF">
        <w:rPr>
          <w:color w:val="000000"/>
          <w:szCs w:val="24"/>
        </w:rPr>
        <w:t xml:space="preserve">most recent </w:t>
      </w:r>
      <w:r w:rsidR="000A6F22">
        <w:rPr>
          <w:color w:val="000000"/>
          <w:szCs w:val="24"/>
        </w:rPr>
        <w:t>FDA package insert</w:t>
      </w:r>
      <w:r w:rsidR="006A0619">
        <w:rPr>
          <w:color w:val="000000"/>
          <w:szCs w:val="24"/>
        </w:rPr>
        <w:t xml:space="preserve"> </w:t>
      </w:r>
      <w:r w:rsidR="00F46363">
        <w:rPr>
          <w:color w:val="000000"/>
          <w:szCs w:val="24"/>
        </w:rPr>
        <w:t xml:space="preserve">to collate potential adverse events </w:t>
      </w:r>
      <w:r w:rsidR="000A6F22">
        <w:rPr>
          <w:color w:val="000000"/>
          <w:szCs w:val="24"/>
        </w:rPr>
        <w:t xml:space="preserve">for each anticancer </w:t>
      </w:r>
      <w:r w:rsidR="000A6F22" w:rsidRPr="00271D9F">
        <w:rPr>
          <w:szCs w:val="24"/>
        </w:rPr>
        <w:t>agent.</w:t>
      </w:r>
      <w:r w:rsidR="00F46363" w:rsidRPr="00271D9F">
        <w:rPr>
          <w:szCs w:val="24"/>
        </w:rPr>
        <w:t xml:space="preserve"> Other sources</w:t>
      </w:r>
      <w:r w:rsidR="00AA0DBF">
        <w:rPr>
          <w:szCs w:val="24"/>
        </w:rPr>
        <w:t>,</w:t>
      </w:r>
      <w:r w:rsidR="00F46363" w:rsidRPr="00271D9F">
        <w:t xml:space="preserve"> including </w:t>
      </w:r>
      <w:r w:rsidR="00AA0DBF">
        <w:t>o</w:t>
      </w:r>
      <w:r w:rsidR="00F46363" w:rsidRPr="00271D9F">
        <w:t xml:space="preserve">nline </w:t>
      </w:r>
      <w:r w:rsidR="00AA0DBF">
        <w:t>p</w:t>
      </w:r>
      <w:r w:rsidR="00F46363" w:rsidRPr="00271D9F">
        <w:t xml:space="preserve">harmaceutical </w:t>
      </w:r>
      <w:r w:rsidR="00AA0DBF">
        <w:t>d</w:t>
      </w:r>
      <w:r w:rsidR="00F46363" w:rsidRPr="00271D9F">
        <w:t>atabases such as Lexicomp and Micromedex, physicians, pharmacists, patient advocates, Informed Consent Working Group Members, and scientific publications</w:t>
      </w:r>
      <w:r w:rsidR="00AA0DBF">
        <w:t>,</w:t>
      </w:r>
      <w:r w:rsidR="00F46363" w:rsidRPr="00271D9F">
        <w:rPr>
          <w:szCs w:val="24"/>
        </w:rPr>
        <w:t xml:space="preserve"> will</w:t>
      </w:r>
      <w:r w:rsidR="00F46363">
        <w:rPr>
          <w:color w:val="000000"/>
          <w:szCs w:val="24"/>
        </w:rPr>
        <w:t xml:space="preserve"> continue to be used as needed.</w:t>
      </w:r>
      <w:r w:rsidR="000A6F22">
        <w:rPr>
          <w:color w:val="000000"/>
          <w:szCs w:val="24"/>
        </w:rPr>
        <w:t xml:space="preserve"> Prior to </w:t>
      </w:r>
      <w:r w:rsidR="00AA0DBF">
        <w:rPr>
          <w:color w:val="000000"/>
          <w:szCs w:val="24"/>
        </w:rPr>
        <w:t>2021</w:t>
      </w:r>
      <w:r w:rsidR="000A6F22">
        <w:rPr>
          <w:color w:val="000000"/>
          <w:szCs w:val="24"/>
        </w:rPr>
        <w:t xml:space="preserve">, the NCI largely collated adverse event risk profiles </w:t>
      </w:r>
      <w:r w:rsidR="003F3FF2">
        <w:rPr>
          <w:color w:val="000000"/>
          <w:szCs w:val="24"/>
        </w:rPr>
        <w:t>princ</w:t>
      </w:r>
      <w:r w:rsidR="00BD7ED6">
        <w:rPr>
          <w:color w:val="000000"/>
          <w:szCs w:val="24"/>
        </w:rPr>
        <w:t>ip</w:t>
      </w:r>
      <w:r w:rsidR="003F3FF2">
        <w:rPr>
          <w:color w:val="000000"/>
          <w:szCs w:val="24"/>
        </w:rPr>
        <w:t>al</w:t>
      </w:r>
      <w:r w:rsidR="00F46363">
        <w:rPr>
          <w:color w:val="000000"/>
          <w:szCs w:val="24"/>
        </w:rPr>
        <w:t xml:space="preserve">ly from the </w:t>
      </w:r>
      <w:r w:rsidR="000A6F22">
        <w:rPr>
          <w:color w:val="000000"/>
          <w:szCs w:val="24"/>
        </w:rPr>
        <w:t xml:space="preserve">Micromedex </w:t>
      </w:r>
      <w:r w:rsidR="00F46363">
        <w:rPr>
          <w:color w:val="000000"/>
          <w:szCs w:val="24"/>
        </w:rPr>
        <w:t>d</w:t>
      </w:r>
      <w:r w:rsidR="000A6F22">
        <w:rPr>
          <w:color w:val="000000"/>
          <w:szCs w:val="24"/>
        </w:rPr>
        <w:t>atabase</w:t>
      </w:r>
      <w:r w:rsidR="00A94682">
        <w:rPr>
          <w:color w:val="000000"/>
          <w:szCs w:val="24"/>
        </w:rPr>
        <w:t>, a</w:t>
      </w:r>
      <w:r w:rsidR="00A94682" w:rsidRPr="00B34155">
        <w:rPr>
          <w:color w:val="000000"/>
          <w:szCs w:val="24"/>
        </w:rPr>
        <w:t>fter</w:t>
      </w:r>
      <w:r w:rsidR="00A94682">
        <w:rPr>
          <w:color w:val="000000"/>
          <w:szCs w:val="24"/>
        </w:rPr>
        <w:t xml:space="preserve"> a</w:t>
      </w:r>
      <w:r w:rsidR="002C5035">
        <w:rPr>
          <w:color w:val="000000"/>
          <w:szCs w:val="24"/>
        </w:rPr>
        <w:t>n</w:t>
      </w:r>
      <w:r w:rsidR="00A94682" w:rsidRPr="00B34155">
        <w:rPr>
          <w:color w:val="000000"/>
          <w:szCs w:val="24"/>
        </w:rPr>
        <w:t xml:space="preserve"> </w:t>
      </w:r>
      <w:r w:rsidR="002C5035">
        <w:rPr>
          <w:color w:val="000000"/>
          <w:szCs w:val="24"/>
        </w:rPr>
        <w:t xml:space="preserve">initial </w:t>
      </w:r>
      <w:r w:rsidR="00A94682" w:rsidRPr="00B34155">
        <w:rPr>
          <w:color w:val="000000"/>
          <w:szCs w:val="24"/>
        </w:rPr>
        <w:t>review of many sources</w:t>
      </w:r>
      <w:r w:rsidR="00A94682">
        <w:rPr>
          <w:color w:val="000000"/>
          <w:szCs w:val="24"/>
        </w:rPr>
        <w:t xml:space="preserve"> (1).</w:t>
      </w:r>
    </w:p>
    <w:p w14:paraId="6A38E6E3" w14:textId="1E22F6B0" w:rsidR="00AA0DBF" w:rsidRDefault="000A6F22" w:rsidP="00A33130">
      <w:pPr>
        <w:rPr>
          <w:szCs w:val="24"/>
        </w:rPr>
      </w:pPr>
      <w:r>
        <w:rPr>
          <w:color w:val="000000"/>
          <w:szCs w:val="24"/>
        </w:rPr>
        <w:t xml:space="preserve">The adverse events included in these </w:t>
      </w:r>
      <w:r w:rsidR="006A0619">
        <w:rPr>
          <w:color w:val="000000"/>
          <w:szCs w:val="24"/>
        </w:rPr>
        <w:t xml:space="preserve">references are listed using scientific terms that are not appropriate for the target patient audience reading informed consent documents. The NCI developed a systematic approach to translate scientific adverse event terms to lay language. </w:t>
      </w:r>
      <w:r w:rsidR="005F1FE7">
        <w:rPr>
          <w:color w:val="000000"/>
          <w:szCs w:val="24"/>
        </w:rPr>
        <w:t>A library</w:t>
      </w:r>
      <w:r w:rsidR="007C1FEB">
        <w:rPr>
          <w:color w:val="000000"/>
          <w:szCs w:val="24"/>
        </w:rPr>
        <w:t xml:space="preserve"> of</w:t>
      </w:r>
      <w:r w:rsidR="00327446">
        <w:rPr>
          <w:color w:val="000000"/>
          <w:szCs w:val="24"/>
        </w:rPr>
        <w:t xml:space="preserve"> scientific terms</w:t>
      </w:r>
      <w:r w:rsidR="00791C1D">
        <w:rPr>
          <w:color w:val="000000"/>
          <w:szCs w:val="24"/>
        </w:rPr>
        <w:t xml:space="preserve"> </w:t>
      </w:r>
      <w:r w:rsidR="006A0619">
        <w:rPr>
          <w:color w:val="000000"/>
          <w:szCs w:val="24"/>
        </w:rPr>
        <w:t>was</w:t>
      </w:r>
      <w:r w:rsidR="00791C1D">
        <w:rPr>
          <w:color w:val="000000"/>
          <w:szCs w:val="24"/>
        </w:rPr>
        <w:t xml:space="preserve"> translated</w:t>
      </w:r>
      <w:r w:rsidR="006A0619">
        <w:rPr>
          <w:color w:val="000000"/>
          <w:szCs w:val="24"/>
        </w:rPr>
        <w:t xml:space="preserve"> to</w:t>
      </w:r>
      <w:r w:rsidR="00791C1D">
        <w:rPr>
          <w:color w:val="000000"/>
          <w:szCs w:val="24"/>
        </w:rPr>
        <w:t xml:space="preserve"> lay language</w:t>
      </w:r>
      <w:r w:rsidR="00327446" w:rsidRPr="00B34155">
        <w:rPr>
          <w:color w:val="000000"/>
          <w:szCs w:val="24"/>
        </w:rPr>
        <w:t xml:space="preserve"> </w:t>
      </w:r>
      <w:r w:rsidR="00791C1D">
        <w:rPr>
          <w:color w:val="000000"/>
          <w:szCs w:val="24"/>
        </w:rPr>
        <w:t xml:space="preserve">based on a review of over 90 commonly used </w:t>
      </w:r>
      <w:r w:rsidR="006A0619">
        <w:rPr>
          <w:color w:val="000000"/>
          <w:szCs w:val="24"/>
        </w:rPr>
        <w:t xml:space="preserve">chemotherapy </w:t>
      </w:r>
      <w:r w:rsidR="00791C1D">
        <w:rPr>
          <w:color w:val="000000"/>
          <w:szCs w:val="24"/>
        </w:rPr>
        <w:t>agents</w:t>
      </w:r>
      <w:r w:rsidR="006A0619">
        <w:rPr>
          <w:color w:val="000000"/>
          <w:szCs w:val="24"/>
        </w:rPr>
        <w:t>.</w:t>
      </w:r>
      <w:r w:rsidR="00791C1D">
        <w:rPr>
          <w:color w:val="000000"/>
          <w:szCs w:val="24"/>
        </w:rPr>
        <w:t xml:space="preserve"> </w:t>
      </w:r>
      <w:r w:rsidR="006A0619">
        <w:rPr>
          <w:color w:val="000000"/>
          <w:szCs w:val="24"/>
        </w:rPr>
        <w:t xml:space="preserve">This library is </w:t>
      </w:r>
      <w:r w:rsidR="005D4893">
        <w:rPr>
          <w:color w:val="000000"/>
          <w:szCs w:val="24"/>
        </w:rPr>
        <w:t>periodically</w:t>
      </w:r>
      <w:r w:rsidR="005F1FE7">
        <w:rPr>
          <w:color w:val="000000"/>
          <w:szCs w:val="24"/>
        </w:rPr>
        <w:t xml:space="preserve"> revised</w:t>
      </w:r>
      <w:r w:rsidR="006A0619">
        <w:rPr>
          <w:color w:val="000000"/>
          <w:szCs w:val="24"/>
        </w:rPr>
        <w:t xml:space="preserve"> and updated as </w:t>
      </w:r>
      <w:r w:rsidR="0019382A">
        <w:rPr>
          <w:color w:val="000000"/>
          <w:szCs w:val="24"/>
        </w:rPr>
        <w:t>additional</w:t>
      </w:r>
      <w:r w:rsidR="006A0619">
        <w:rPr>
          <w:color w:val="000000"/>
          <w:szCs w:val="24"/>
        </w:rPr>
        <w:t xml:space="preserve"> scientific </w:t>
      </w:r>
      <w:r w:rsidR="0019382A">
        <w:rPr>
          <w:color w:val="000000"/>
          <w:szCs w:val="24"/>
        </w:rPr>
        <w:t>adverse events are documented for each agent</w:t>
      </w:r>
      <w:r w:rsidR="005D4893">
        <w:rPr>
          <w:color w:val="000000"/>
          <w:szCs w:val="24"/>
        </w:rPr>
        <w:t>.  A copy of th</w:t>
      </w:r>
      <w:r w:rsidR="007C1FEB">
        <w:rPr>
          <w:color w:val="000000"/>
          <w:szCs w:val="24"/>
        </w:rPr>
        <w:t>e</w:t>
      </w:r>
      <w:r w:rsidR="005D4893">
        <w:rPr>
          <w:color w:val="000000"/>
          <w:szCs w:val="24"/>
        </w:rPr>
        <w:t xml:space="preserve"> library </w:t>
      </w:r>
      <w:r w:rsidR="005D4893" w:rsidRPr="00271D9F">
        <w:rPr>
          <w:szCs w:val="24"/>
        </w:rPr>
        <w:t>file (</w:t>
      </w:r>
      <w:r w:rsidR="00DB7678" w:rsidRPr="00271D9F">
        <w:rPr>
          <w:i/>
          <w:iCs/>
          <w:szCs w:val="24"/>
        </w:rPr>
        <w:t>NCI</w:t>
      </w:r>
      <w:r w:rsidR="00DB7678" w:rsidRPr="00271D9F">
        <w:rPr>
          <w:szCs w:val="24"/>
        </w:rPr>
        <w:t xml:space="preserve"> </w:t>
      </w:r>
      <w:r w:rsidR="00E20C99" w:rsidRPr="00271D9F">
        <w:rPr>
          <w:rStyle w:val="Emphasis"/>
        </w:rPr>
        <w:t>Risk</w:t>
      </w:r>
      <w:r w:rsidR="005D4893" w:rsidRPr="00271D9F">
        <w:rPr>
          <w:rStyle w:val="Emphasis"/>
        </w:rPr>
        <w:t xml:space="preserve"> Term</w:t>
      </w:r>
      <w:r w:rsidR="00E20C99" w:rsidRPr="00271D9F">
        <w:rPr>
          <w:rStyle w:val="Emphasis"/>
        </w:rPr>
        <w:t xml:space="preserve"> Library</w:t>
      </w:r>
      <w:r w:rsidR="005D4893" w:rsidRPr="00271D9F">
        <w:rPr>
          <w:rStyle w:val="Emphasis"/>
          <w:i w:val="0"/>
          <w:iCs/>
        </w:rPr>
        <w:t>)</w:t>
      </w:r>
      <w:r w:rsidR="005D4893" w:rsidRPr="00271D9F">
        <w:rPr>
          <w:rStyle w:val="Emphasis"/>
        </w:rPr>
        <w:t xml:space="preserve"> </w:t>
      </w:r>
      <w:r w:rsidR="006C78F1" w:rsidRPr="00271D9F">
        <w:rPr>
          <w:szCs w:val="24"/>
        </w:rPr>
        <w:t>is</w:t>
      </w:r>
      <w:r w:rsidR="006C78F1" w:rsidRPr="00B34155">
        <w:rPr>
          <w:color w:val="000000"/>
          <w:szCs w:val="24"/>
        </w:rPr>
        <w:t xml:space="preserve"> available </w:t>
      </w:r>
      <w:r w:rsidR="005D2B81">
        <w:rPr>
          <w:color w:val="000000"/>
          <w:szCs w:val="24"/>
        </w:rPr>
        <w:t>in the CTEP-Supported Trial Resources section of the DCTD website.</w:t>
      </w:r>
    </w:p>
    <w:p w14:paraId="23FE7DFD" w14:textId="39CF42AA" w:rsidR="00100854" w:rsidRDefault="006A0619" w:rsidP="00A33130">
      <w:pPr>
        <w:rPr>
          <w:szCs w:val="24"/>
        </w:rPr>
      </w:pPr>
      <w:r>
        <w:rPr>
          <w:szCs w:val="24"/>
        </w:rPr>
        <w:t>After translating the scientific terms into lay terms</w:t>
      </w:r>
      <w:r w:rsidR="0019382A">
        <w:rPr>
          <w:szCs w:val="24"/>
        </w:rPr>
        <w:t xml:space="preserve"> appropriate for informed consent documents</w:t>
      </w:r>
      <w:r>
        <w:rPr>
          <w:szCs w:val="24"/>
        </w:rPr>
        <w:t xml:space="preserve">, “possible side effects” </w:t>
      </w:r>
      <w:r w:rsidR="00F46363">
        <w:rPr>
          <w:szCs w:val="24"/>
        </w:rPr>
        <w:t xml:space="preserve">documents </w:t>
      </w:r>
      <w:r>
        <w:rPr>
          <w:szCs w:val="24"/>
        </w:rPr>
        <w:t>are developed</w:t>
      </w:r>
      <w:r w:rsidR="00F46363">
        <w:rPr>
          <w:szCs w:val="24"/>
        </w:rPr>
        <w:t xml:space="preserve"> and updated</w:t>
      </w:r>
      <w:r>
        <w:rPr>
          <w:szCs w:val="24"/>
        </w:rPr>
        <w:t xml:space="preserve"> by sorting the </w:t>
      </w:r>
      <w:r w:rsidR="0019382A">
        <w:rPr>
          <w:szCs w:val="24"/>
        </w:rPr>
        <w:t>informed consent</w:t>
      </w:r>
      <w:r>
        <w:rPr>
          <w:szCs w:val="24"/>
        </w:rPr>
        <w:t xml:space="preserve"> terms in</w:t>
      </w:r>
      <w:r w:rsidR="00F46363">
        <w:rPr>
          <w:szCs w:val="24"/>
        </w:rPr>
        <w:t xml:space="preserve">to tables based on severity and frequency of occurrence. </w:t>
      </w:r>
      <w:r w:rsidR="003B3A97" w:rsidRPr="00B34155">
        <w:rPr>
          <w:szCs w:val="24"/>
        </w:rPr>
        <w:t>The</w:t>
      </w:r>
      <w:r w:rsidR="003F06F1" w:rsidRPr="00B34155">
        <w:rPr>
          <w:szCs w:val="24"/>
        </w:rPr>
        <w:t xml:space="preserve"> </w:t>
      </w:r>
      <w:r w:rsidR="0019382A">
        <w:rPr>
          <w:szCs w:val="24"/>
        </w:rPr>
        <w:t>informed consent</w:t>
      </w:r>
      <w:r w:rsidR="0019382A" w:rsidRPr="00B34155">
        <w:rPr>
          <w:szCs w:val="24"/>
        </w:rPr>
        <w:t xml:space="preserve"> </w:t>
      </w:r>
      <w:r w:rsidR="003F06F1" w:rsidRPr="00B34155">
        <w:rPr>
          <w:szCs w:val="24"/>
        </w:rPr>
        <w:t>terms</w:t>
      </w:r>
      <w:r w:rsidR="00EF749D" w:rsidRPr="00B34155">
        <w:rPr>
          <w:szCs w:val="24"/>
        </w:rPr>
        <w:t>, formats</w:t>
      </w:r>
      <w:r w:rsidR="005D5293" w:rsidRPr="00B34155">
        <w:rPr>
          <w:szCs w:val="24"/>
        </w:rPr>
        <w:t>,</w:t>
      </w:r>
      <w:r w:rsidR="00EF749D" w:rsidRPr="00B34155">
        <w:rPr>
          <w:szCs w:val="24"/>
        </w:rPr>
        <w:t xml:space="preserve"> and standard </w:t>
      </w:r>
      <w:r w:rsidR="00062D76" w:rsidRPr="00B34155">
        <w:rPr>
          <w:szCs w:val="24"/>
        </w:rPr>
        <w:t>language were</w:t>
      </w:r>
      <w:r w:rsidR="003F06F1" w:rsidRPr="00B34155">
        <w:rPr>
          <w:szCs w:val="24"/>
        </w:rPr>
        <w:t xml:space="preserve"> </w:t>
      </w:r>
      <w:r w:rsidR="00062D76" w:rsidRPr="00B34155">
        <w:rPr>
          <w:szCs w:val="24"/>
        </w:rPr>
        <w:t xml:space="preserve">created with </w:t>
      </w:r>
      <w:r w:rsidR="003F06F1" w:rsidRPr="00B34155">
        <w:rPr>
          <w:szCs w:val="24"/>
        </w:rPr>
        <w:t>input from</w:t>
      </w:r>
      <w:r w:rsidR="00EF749D" w:rsidRPr="00B34155">
        <w:rPr>
          <w:szCs w:val="24"/>
        </w:rPr>
        <w:t xml:space="preserve"> a variety of sources</w:t>
      </w:r>
      <w:r w:rsidR="002B3F5F" w:rsidRPr="00B34155">
        <w:rPr>
          <w:szCs w:val="24"/>
        </w:rPr>
        <w:t>,</w:t>
      </w:r>
      <w:r w:rsidR="00EF749D" w:rsidRPr="00B34155">
        <w:rPr>
          <w:szCs w:val="24"/>
        </w:rPr>
        <w:t xml:space="preserve"> including </w:t>
      </w:r>
      <w:r w:rsidR="003F06F1" w:rsidRPr="00B34155">
        <w:rPr>
          <w:szCs w:val="24"/>
        </w:rPr>
        <w:t>physicians</w:t>
      </w:r>
      <w:r w:rsidR="00EF749D" w:rsidRPr="00B34155">
        <w:rPr>
          <w:szCs w:val="24"/>
        </w:rPr>
        <w:t xml:space="preserve">, </w:t>
      </w:r>
      <w:r w:rsidR="003F06F1" w:rsidRPr="00B34155">
        <w:rPr>
          <w:szCs w:val="24"/>
        </w:rPr>
        <w:t>pharmac</w:t>
      </w:r>
      <w:r w:rsidR="006D527F" w:rsidRPr="00B34155">
        <w:rPr>
          <w:szCs w:val="24"/>
        </w:rPr>
        <w:t>ists</w:t>
      </w:r>
      <w:r w:rsidR="003F06F1" w:rsidRPr="00B34155">
        <w:rPr>
          <w:szCs w:val="24"/>
        </w:rPr>
        <w:t>,</w:t>
      </w:r>
      <w:r w:rsidR="006D527F" w:rsidRPr="00B34155">
        <w:rPr>
          <w:szCs w:val="24"/>
        </w:rPr>
        <w:t xml:space="preserve"> patient advocates,</w:t>
      </w:r>
      <w:r w:rsidR="00EF749D" w:rsidRPr="00B34155">
        <w:rPr>
          <w:szCs w:val="24"/>
        </w:rPr>
        <w:t xml:space="preserve"> and</w:t>
      </w:r>
      <w:r w:rsidR="003F06F1" w:rsidRPr="00B34155">
        <w:rPr>
          <w:szCs w:val="24"/>
        </w:rPr>
        <w:t xml:space="preserve"> the </w:t>
      </w:r>
      <w:r w:rsidR="00F46363">
        <w:rPr>
          <w:szCs w:val="24"/>
        </w:rPr>
        <w:t>I</w:t>
      </w:r>
      <w:r w:rsidR="003F06F1" w:rsidRPr="00B34155">
        <w:rPr>
          <w:szCs w:val="24"/>
        </w:rPr>
        <w:t xml:space="preserve">nformed </w:t>
      </w:r>
      <w:r w:rsidR="00F46363">
        <w:rPr>
          <w:szCs w:val="24"/>
        </w:rPr>
        <w:t>C</w:t>
      </w:r>
      <w:r w:rsidR="003F06F1" w:rsidRPr="00B34155">
        <w:rPr>
          <w:szCs w:val="24"/>
        </w:rPr>
        <w:t xml:space="preserve">onsent </w:t>
      </w:r>
      <w:r w:rsidR="00F46363">
        <w:rPr>
          <w:szCs w:val="24"/>
        </w:rPr>
        <w:t>W</w:t>
      </w:r>
      <w:r w:rsidR="003F06F1" w:rsidRPr="00B34155">
        <w:rPr>
          <w:szCs w:val="24"/>
        </w:rPr>
        <w:t xml:space="preserve">orking </w:t>
      </w:r>
      <w:r w:rsidR="00F46363">
        <w:rPr>
          <w:szCs w:val="24"/>
        </w:rPr>
        <w:t>G</w:t>
      </w:r>
      <w:r w:rsidR="003F06F1" w:rsidRPr="00B34155">
        <w:rPr>
          <w:szCs w:val="24"/>
        </w:rPr>
        <w:t xml:space="preserve">roup for </w:t>
      </w:r>
      <w:r w:rsidR="00F46363">
        <w:rPr>
          <w:szCs w:val="24"/>
        </w:rPr>
        <w:t>R</w:t>
      </w:r>
      <w:r w:rsidR="003F06F1" w:rsidRPr="00B34155">
        <w:rPr>
          <w:szCs w:val="24"/>
        </w:rPr>
        <w:t>isks</w:t>
      </w:r>
      <w:r w:rsidR="00F46363">
        <w:rPr>
          <w:szCs w:val="24"/>
        </w:rPr>
        <w:t xml:space="preserve"> </w:t>
      </w:r>
      <w:r w:rsidR="003C7CC3" w:rsidRPr="00B34155">
        <w:rPr>
          <w:szCs w:val="24"/>
        </w:rPr>
        <w:t>(2-7)</w:t>
      </w:r>
      <w:r w:rsidR="00F46363">
        <w:rPr>
          <w:szCs w:val="24"/>
        </w:rPr>
        <w:t>.</w:t>
      </w:r>
      <w:r w:rsidR="00202446" w:rsidRPr="00B34155">
        <w:rPr>
          <w:szCs w:val="24"/>
        </w:rPr>
        <w:t xml:space="preserve"> </w:t>
      </w:r>
      <w:r w:rsidR="00EF749D" w:rsidRPr="00B34155">
        <w:rPr>
          <w:szCs w:val="24"/>
        </w:rPr>
        <w:t xml:space="preserve">The </w:t>
      </w:r>
      <w:r w:rsidR="0019382A">
        <w:rPr>
          <w:szCs w:val="24"/>
        </w:rPr>
        <w:t>informed consent</w:t>
      </w:r>
      <w:r w:rsidR="00EF749D" w:rsidRPr="00B34155">
        <w:rPr>
          <w:szCs w:val="24"/>
        </w:rPr>
        <w:t xml:space="preserve"> terms </w:t>
      </w:r>
      <w:r w:rsidR="00F46363">
        <w:rPr>
          <w:szCs w:val="24"/>
        </w:rPr>
        <w:t xml:space="preserve">used in the </w:t>
      </w:r>
      <w:r w:rsidR="000354EB">
        <w:rPr>
          <w:szCs w:val="24"/>
        </w:rPr>
        <w:t xml:space="preserve">risk </w:t>
      </w:r>
      <w:r w:rsidR="00AF4E7A">
        <w:rPr>
          <w:szCs w:val="24"/>
        </w:rPr>
        <w:t>list</w:t>
      </w:r>
      <w:r w:rsidR="000354EB">
        <w:rPr>
          <w:szCs w:val="24"/>
        </w:rPr>
        <w:t>s</w:t>
      </w:r>
      <w:r w:rsidR="00F46363">
        <w:rPr>
          <w:szCs w:val="24"/>
        </w:rPr>
        <w:t xml:space="preserve"> are intended to be</w:t>
      </w:r>
      <w:r w:rsidR="00AA0DBF">
        <w:rPr>
          <w:szCs w:val="24"/>
        </w:rPr>
        <w:t xml:space="preserve"> </w:t>
      </w:r>
      <w:r w:rsidR="00F46363">
        <w:rPr>
          <w:szCs w:val="24"/>
        </w:rPr>
        <w:t xml:space="preserve">generally </w:t>
      </w:r>
      <w:r w:rsidR="006D527F" w:rsidRPr="00B34155">
        <w:rPr>
          <w:szCs w:val="24"/>
        </w:rPr>
        <w:t>consistent with the</w:t>
      </w:r>
      <w:r w:rsidR="00F46363">
        <w:rPr>
          <w:szCs w:val="24"/>
        </w:rPr>
        <w:t xml:space="preserve"> CTCAE translated</w:t>
      </w:r>
      <w:r w:rsidR="006D527F" w:rsidRPr="00B34155">
        <w:rPr>
          <w:szCs w:val="24"/>
        </w:rPr>
        <w:t xml:space="preserve"> </w:t>
      </w:r>
      <w:r w:rsidR="0019382A">
        <w:rPr>
          <w:szCs w:val="24"/>
        </w:rPr>
        <w:t>informed consent</w:t>
      </w:r>
      <w:r w:rsidR="006D527F" w:rsidRPr="00B34155">
        <w:rPr>
          <w:szCs w:val="24"/>
        </w:rPr>
        <w:t xml:space="preserve"> terms</w:t>
      </w:r>
      <w:r w:rsidR="0019382A">
        <w:rPr>
          <w:szCs w:val="24"/>
        </w:rPr>
        <w:t xml:space="preserve"> for investigational agents</w:t>
      </w:r>
      <w:r w:rsidR="006D527F" w:rsidRPr="00B34155">
        <w:rPr>
          <w:szCs w:val="24"/>
        </w:rPr>
        <w:t>.</w:t>
      </w:r>
    </w:p>
    <w:p w14:paraId="75341F7C" w14:textId="6071AA9E" w:rsidR="00AA0DBF" w:rsidRDefault="00AA0DBF" w:rsidP="00A33130">
      <w:pPr>
        <w:rPr>
          <w:color w:val="000000"/>
          <w:szCs w:val="24"/>
        </w:rPr>
      </w:pPr>
      <w:r w:rsidRPr="00271D9F">
        <w:rPr>
          <w:color w:val="000000"/>
          <w:szCs w:val="24"/>
          <w:u w:val="single"/>
        </w:rPr>
        <w:t>Procedure</w:t>
      </w:r>
      <w:r w:rsidR="002666A6" w:rsidRPr="00271D9F">
        <w:rPr>
          <w:color w:val="000000"/>
          <w:szCs w:val="24"/>
          <w:u w:val="single"/>
        </w:rPr>
        <w:t xml:space="preserve"> for developing or updating a single commercially available anticancer agent </w:t>
      </w:r>
      <w:r w:rsidR="000354EB">
        <w:rPr>
          <w:color w:val="000000"/>
          <w:szCs w:val="24"/>
          <w:u w:val="single"/>
        </w:rPr>
        <w:t xml:space="preserve">risk </w:t>
      </w:r>
      <w:r w:rsidR="00AF4E7A">
        <w:rPr>
          <w:color w:val="000000"/>
          <w:szCs w:val="24"/>
          <w:u w:val="single"/>
        </w:rPr>
        <w:t>list</w:t>
      </w:r>
      <w:r w:rsidRPr="00271D9F">
        <w:rPr>
          <w:color w:val="000000"/>
          <w:szCs w:val="24"/>
          <w:u w:val="single"/>
        </w:rPr>
        <w:t>:</w:t>
      </w:r>
    </w:p>
    <w:p w14:paraId="6BA8CA4F" w14:textId="77777777" w:rsidR="00AA0DBF" w:rsidRPr="00B34155" w:rsidRDefault="00AA0DBF" w:rsidP="00271D9F">
      <w:pPr>
        <w:numPr>
          <w:ilvl w:val="0"/>
          <w:numId w:val="1"/>
        </w:numPr>
        <w:rPr>
          <w:rStyle w:val="Emphasis"/>
        </w:rPr>
      </w:pPr>
      <w:r>
        <w:rPr>
          <w:rStyle w:val="Emphasis"/>
          <w:i w:val="0"/>
          <w:iCs/>
        </w:rPr>
        <w:t xml:space="preserve">For a single anticancer agent, associated scientific adverse events </w:t>
      </w:r>
      <w:r w:rsidR="0019382A">
        <w:rPr>
          <w:rStyle w:val="Emphasis"/>
          <w:i w:val="0"/>
          <w:iCs/>
        </w:rPr>
        <w:t xml:space="preserve">are identified </w:t>
      </w:r>
      <w:r>
        <w:rPr>
          <w:rStyle w:val="Emphasis"/>
          <w:i w:val="0"/>
          <w:iCs/>
        </w:rPr>
        <w:t xml:space="preserve">using the most recent FDA package insert and/or other sources (as noted above). </w:t>
      </w:r>
    </w:p>
    <w:p w14:paraId="4566390D" w14:textId="2A07931F" w:rsidR="00643CC8" w:rsidRDefault="0019382A" w:rsidP="00271D9F">
      <w:pPr>
        <w:pStyle w:val="ListParagraph"/>
        <w:numPr>
          <w:ilvl w:val="0"/>
          <w:numId w:val="1"/>
        </w:numPr>
        <w:spacing w:after="240" w:line="276" w:lineRule="auto"/>
        <w:rPr>
          <w:rFonts w:cs="Times New Roman"/>
          <w:color w:val="000000"/>
          <w:szCs w:val="24"/>
        </w:rPr>
      </w:pPr>
      <w:r>
        <w:rPr>
          <w:color w:val="000000"/>
          <w:szCs w:val="24"/>
        </w:rPr>
        <w:t>T</w:t>
      </w:r>
      <w:r w:rsidR="00643CC8" w:rsidRPr="00B34155">
        <w:rPr>
          <w:rFonts w:cs="Times New Roman"/>
          <w:color w:val="000000"/>
          <w:szCs w:val="24"/>
        </w:rPr>
        <w:t>he</w:t>
      </w:r>
      <w:r w:rsidR="003F6F6E" w:rsidRPr="00B34155">
        <w:rPr>
          <w:rFonts w:cs="Times New Roman"/>
          <w:color w:val="000000"/>
          <w:szCs w:val="24"/>
        </w:rPr>
        <w:t xml:space="preserve"> </w:t>
      </w:r>
      <w:r w:rsidR="002D051B" w:rsidRPr="00271D9F">
        <w:rPr>
          <w:rFonts w:cs="Times New Roman"/>
          <w:i/>
          <w:iCs/>
          <w:color w:val="000000"/>
          <w:szCs w:val="24"/>
        </w:rPr>
        <w:t>NCI Risk Term Library</w:t>
      </w:r>
      <w:r w:rsidR="002D051B">
        <w:rPr>
          <w:rFonts w:cs="Times New Roman"/>
          <w:color w:val="000000"/>
          <w:szCs w:val="24"/>
        </w:rPr>
        <w:t xml:space="preserve"> </w:t>
      </w:r>
      <w:r>
        <w:rPr>
          <w:rFonts w:cs="Times New Roman"/>
          <w:color w:val="000000"/>
          <w:szCs w:val="24"/>
        </w:rPr>
        <w:t xml:space="preserve">is consulted </w:t>
      </w:r>
      <w:r w:rsidR="00AA0DBF">
        <w:rPr>
          <w:rFonts w:cs="Times New Roman"/>
          <w:color w:val="000000"/>
          <w:szCs w:val="24"/>
        </w:rPr>
        <w:t xml:space="preserve">and </w:t>
      </w:r>
      <w:r>
        <w:rPr>
          <w:rFonts w:cs="Times New Roman"/>
          <w:color w:val="000000"/>
          <w:szCs w:val="24"/>
        </w:rPr>
        <w:t xml:space="preserve">each scientific adverse event is </w:t>
      </w:r>
      <w:r w:rsidR="00AA0DBF">
        <w:rPr>
          <w:rFonts w:cs="Times New Roman"/>
          <w:color w:val="000000"/>
          <w:szCs w:val="24"/>
        </w:rPr>
        <w:t>translate</w:t>
      </w:r>
      <w:r>
        <w:rPr>
          <w:rFonts w:cs="Times New Roman"/>
          <w:color w:val="000000"/>
          <w:szCs w:val="24"/>
        </w:rPr>
        <w:t>d</w:t>
      </w:r>
      <w:r w:rsidR="00AA0DBF">
        <w:rPr>
          <w:rFonts w:cs="Times New Roman"/>
          <w:color w:val="000000"/>
          <w:szCs w:val="24"/>
        </w:rPr>
        <w:t xml:space="preserve"> </w:t>
      </w:r>
      <w:r>
        <w:rPr>
          <w:rFonts w:cs="Times New Roman"/>
          <w:color w:val="000000"/>
          <w:szCs w:val="24"/>
        </w:rPr>
        <w:t>into an</w:t>
      </w:r>
      <w:r w:rsidR="00AA0DBF">
        <w:rPr>
          <w:rFonts w:cs="Times New Roman"/>
          <w:color w:val="000000"/>
          <w:szCs w:val="24"/>
        </w:rPr>
        <w:t xml:space="preserve"> </w:t>
      </w:r>
      <w:r>
        <w:rPr>
          <w:szCs w:val="24"/>
        </w:rPr>
        <w:t>informed consent</w:t>
      </w:r>
      <w:r w:rsidR="00AA0DBF">
        <w:rPr>
          <w:rFonts w:cs="Times New Roman"/>
          <w:color w:val="000000"/>
          <w:szCs w:val="24"/>
        </w:rPr>
        <w:t xml:space="preserve"> term. </w:t>
      </w:r>
      <w:r w:rsidR="00D62032" w:rsidRPr="00B34155">
        <w:rPr>
          <w:rFonts w:cs="Times New Roman"/>
          <w:color w:val="000000"/>
          <w:szCs w:val="24"/>
        </w:rPr>
        <w:t xml:space="preserve">Some </w:t>
      </w:r>
      <w:r w:rsidR="00AA0DBF">
        <w:rPr>
          <w:rFonts w:cs="Times New Roman"/>
          <w:color w:val="000000"/>
          <w:szCs w:val="24"/>
        </w:rPr>
        <w:t>adverse events</w:t>
      </w:r>
      <w:r w:rsidR="00D62032" w:rsidRPr="00B34155">
        <w:rPr>
          <w:rFonts w:cs="Times New Roman"/>
          <w:color w:val="000000"/>
          <w:szCs w:val="24"/>
        </w:rPr>
        <w:t xml:space="preserve"> are</w:t>
      </w:r>
      <w:r w:rsidR="00643CC8" w:rsidRPr="00B34155">
        <w:rPr>
          <w:rFonts w:cs="Times New Roman"/>
          <w:color w:val="000000"/>
          <w:szCs w:val="24"/>
        </w:rPr>
        <w:t xml:space="preserve"> conditions</w:t>
      </w:r>
      <w:r w:rsidR="00D62032" w:rsidRPr="00B34155">
        <w:rPr>
          <w:rFonts w:cs="Times New Roman"/>
          <w:color w:val="000000"/>
          <w:szCs w:val="24"/>
        </w:rPr>
        <w:t>,</w:t>
      </w:r>
      <w:r w:rsidR="00643CC8" w:rsidRPr="00B34155">
        <w:rPr>
          <w:rFonts w:cs="Times New Roman"/>
          <w:color w:val="000000"/>
          <w:szCs w:val="24"/>
        </w:rPr>
        <w:t xml:space="preserve"> </w:t>
      </w:r>
      <w:r w:rsidR="00D62032" w:rsidRPr="00B34155">
        <w:rPr>
          <w:rFonts w:cs="Times New Roman"/>
          <w:color w:val="000000"/>
          <w:szCs w:val="24"/>
        </w:rPr>
        <w:t>such as</w:t>
      </w:r>
      <w:r w:rsidR="00643CC8" w:rsidRPr="00B34155">
        <w:rPr>
          <w:rFonts w:cs="Times New Roman"/>
          <w:color w:val="000000"/>
          <w:szCs w:val="24"/>
        </w:rPr>
        <w:t xml:space="preserve"> </w:t>
      </w:r>
      <w:r w:rsidR="00844CA8" w:rsidRPr="00B34155">
        <w:rPr>
          <w:rFonts w:cs="Times New Roman"/>
          <w:color w:val="000000"/>
          <w:szCs w:val="24"/>
        </w:rPr>
        <w:t>‘</w:t>
      </w:r>
      <w:r w:rsidR="00C00BBD" w:rsidRPr="00B34155">
        <w:rPr>
          <w:rFonts w:cs="Times New Roman"/>
          <w:color w:val="000000"/>
          <w:szCs w:val="24"/>
        </w:rPr>
        <w:t>Reversible Posterior Leukoencephalopathy Syndrome</w:t>
      </w:r>
      <w:r w:rsidR="00AA0DBF">
        <w:rPr>
          <w:rFonts w:cs="Times New Roman"/>
          <w:color w:val="000000"/>
          <w:szCs w:val="24"/>
        </w:rPr>
        <w:t>.</w:t>
      </w:r>
      <w:r w:rsidR="00844CA8" w:rsidRPr="00B34155">
        <w:rPr>
          <w:rFonts w:cs="Times New Roman"/>
          <w:color w:val="000000"/>
          <w:szCs w:val="24"/>
        </w:rPr>
        <w:t>’</w:t>
      </w:r>
      <w:r w:rsidR="00D62032" w:rsidRPr="00B34155">
        <w:rPr>
          <w:rFonts w:cs="Times New Roman"/>
          <w:color w:val="000000"/>
          <w:szCs w:val="24"/>
        </w:rPr>
        <w:t xml:space="preserve"> </w:t>
      </w:r>
      <w:r>
        <w:rPr>
          <w:rFonts w:cs="Times New Roman"/>
          <w:color w:val="000000"/>
          <w:szCs w:val="24"/>
        </w:rPr>
        <w:t>For these conditions</w:t>
      </w:r>
      <w:r w:rsidR="00E70D4C">
        <w:rPr>
          <w:rFonts w:cs="Times New Roman"/>
          <w:color w:val="000000"/>
          <w:szCs w:val="24"/>
        </w:rPr>
        <w:t>,</w:t>
      </w:r>
      <w:r w:rsidR="00AA0DBF">
        <w:rPr>
          <w:rFonts w:cs="Times New Roman"/>
          <w:color w:val="000000"/>
          <w:szCs w:val="24"/>
        </w:rPr>
        <w:t xml:space="preserve"> the </w:t>
      </w:r>
      <w:r w:rsidR="00AA0DBF" w:rsidRPr="00E90CD3">
        <w:rPr>
          <w:rFonts w:cs="Times New Roman"/>
          <w:i/>
          <w:iCs/>
          <w:color w:val="000000"/>
          <w:szCs w:val="24"/>
        </w:rPr>
        <w:t>NCI Risk Term Library</w:t>
      </w:r>
      <w:r w:rsidR="00AA0DBF">
        <w:rPr>
          <w:rFonts w:cs="Times New Roman"/>
          <w:color w:val="000000"/>
          <w:szCs w:val="24"/>
        </w:rPr>
        <w:t xml:space="preserve"> </w:t>
      </w:r>
      <w:r w:rsidR="00E70D4C">
        <w:rPr>
          <w:rFonts w:cs="Times New Roman"/>
          <w:color w:val="000000"/>
          <w:szCs w:val="24"/>
        </w:rPr>
        <w:t>includes a list</w:t>
      </w:r>
      <w:r w:rsidR="00643CC8" w:rsidRPr="00B34155">
        <w:rPr>
          <w:rFonts w:cs="Times New Roman"/>
          <w:color w:val="000000"/>
          <w:szCs w:val="24"/>
        </w:rPr>
        <w:t xml:space="preserve"> of symptoms </w:t>
      </w:r>
      <w:r w:rsidR="00E70D4C">
        <w:rPr>
          <w:rFonts w:cs="Times New Roman"/>
          <w:color w:val="000000"/>
          <w:szCs w:val="24"/>
        </w:rPr>
        <w:t xml:space="preserve">to be included in the </w:t>
      </w:r>
      <w:r w:rsidR="000354EB">
        <w:rPr>
          <w:rFonts w:cs="Times New Roman"/>
          <w:color w:val="000000"/>
          <w:szCs w:val="24"/>
        </w:rPr>
        <w:t>risk</w:t>
      </w:r>
      <w:r w:rsidR="00E70D4C">
        <w:rPr>
          <w:rFonts w:cs="Times New Roman"/>
          <w:color w:val="000000"/>
          <w:szCs w:val="24"/>
        </w:rPr>
        <w:t xml:space="preserve"> </w:t>
      </w:r>
      <w:r w:rsidR="00AF4E7A">
        <w:rPr>
          <w:rFonts w:cs="Times New Roman"/>
          <w:color w:val="000000"/>
          <w:szCs w:val="24"/>
        </w:rPr>
        <w:t>lists</w:t>
      </w:r>
      <w:r w:rsidR="00E70D4C">
        <w:rPr>
          <w:rFonts w:cs="Times New Roman"/>
          <w:color w:val="000000"/>
          <w:szCs w:val="24"/>
        </w:rPr>
        <w:t>.</w:t>
      </w:r>
    </w:p>
    <w:p w14:paraId="7DA78767" w14:textId="7EE908BB" w:rsidR="00137911" w:rsidRPr="00B34155" w:rsidRDefault="00137911" w:rsidP="00137911">
      <w:pPr>
        <w:pStyle w:val="ListParagraph"/>
        <w:numPr>
          <w:ilvl w:val="0"/>
          <w:numId w:val="1"/>
        </w:numPr>
        <w:spacing w:line="276" w:lineRule="auto"/>
        <w:rPr>
          <w:rFonts w:cs="Times New Roman"/>
          <w:color w:val="000000"/>
          <w:szCs w:val="24"/>
        </w:rPr>
      </w:pPr>
      <w:r>
        <w:rPr>
          <w:rFonts w:cs="Times New Roman"/>
          <w:color w:val="000000"/>
          <w:szCs w:val="24"/>
        </w:rPr>
        <w:t xml:space="preserve">Generally, the language used in the </w:t>
      </w:r>
      <w:r w:rsidR="000354EB">
        <w:rPr>
          <w:rFonts w:cs="Times New Roman"/>
          <w:color w:val="000000"/>
          <w:szCs w:val="24"/>
        </w:rPr>
        <w:t>risk</w:t>
      </w:r>
      <w:r>
        <w:rPr>
          <w:rFonts w:cs="Times New Roman"/>
          <w:color w:val="000000"/>
          <w:szCs w:val="24"/>
        </w:rPr>
        <w:t xml:space="preserve"> </w:t>
      </w:r>
      <w:r w:rsidR="00AF4E7A">
        <w:rPr>
          <w:rFonts w:cs="Times New Roman"/>
          <w:color w:val="000000"/>
          <w:szCs w:val="24"/>
        </w:rPr>
        <w:t xml:space="preserve">lists </w:t>
      </w:r>
      <w:r>
        <w:rPr>
          <w:rFonts w:cs="Times New Roman"/>
          <w:color w:val="000000"/>
          <w:szCs w:val="24"/>
        </w:rPr>
        <w:t xml:space="preserve">will be formatted with the translated </w:t>
      </w:r>
      <w:r w:rsidR="0019382A">
        <w:rPr>
          <w:szCs w:val="24"/>
        </w:rPr>
        <w:t>informed consent</w:t>
      </w:r>
      <w:r>
        <w:rPr>
          <w:rFonts w:cs="Times New Roman"/>
          <w:color w:val="000000"/>
          <w:szCs w:val="24"/>
        </w:rPr>
        <w:t xml:space="preserve"> term followed by </w:t>
      </w:r>
      <w:r w:rsidR="00CC167B">
        <w:rPr>
          <w:rFonts w:cs="Times New Roman"/>
          <w:color w:val="000000"/>
          <w:szCs w:val="24"/>
        </w:rPr>
        <w:t xml:space="preserve">“which may cause” and </w:t>
      </w:r>
      <w:r>
        <w:rPr>
          <w:rFonts w:cs="Times New Roman"/>
          <w:color w:val="000000"/>
          <w:szCs w:val="24"/>
        </w:rPr>
        <w:t>a list of symptoms</w:t>
      </w:r>
      <w:r w:rsidR="008F5179">
        <w:rPr>
          <w:rFonts w:cs="Times New Roman"/>
          <w:color w:val="000000"/>
          <w:szCs w:val="24"/>
        </w:rPr>
        <w:t xml:space="preserve"> (if applicable)</w:t>
      </w:r>
      <w:r>
        <w:rPr>
          <w:rFonts w:cs="Times New Roman"/>
          <w:color w:val="000000"/>
          <w:szCs w:val="24"/>
        </w:rPr>
        <w:t>.</w:t>
      </w:r>
      <w:r w:rsidRPr="00B34155">
        <w:rPr>
          <w:rFonts w:cs="Times New Roman"/>
          <w:color w:val="000000"/>
          <w:szCs w:val="24"/>
        </w:rPr>
        <w:t xml:space="preserve"> </w:t>
      </w:r>
    </w:p>
    <w:p w14:paraId="1F0278E6" w14:textId="77777777" w:rsidR="00CC167B" w:rsidRPr="00B34155" w:rsidRDefault="00137911" w:rsidP="00271D9F">
      <w:pPr>
        <w:pStyle w:val="ListParagraph"/>
        <w:numPr>
          <w:ilvl w:val="1"/>
          <w:numId w:val="1"/>
        </w:numPr>
        <w:spacing w:after="240" w:line="276" w:lineRule="auto"/>
        <w:rPr>
          <w:rFonts w:cs="Times New Roman"/>
          <w:color w:val="000000"/>
          <w:szCs w:val="24"/>
        </w:rPr>
      </w:pPr>
      <w:r w:rsidRPr="00B34155">
        <w:rPr>
          <w:rFonts w:cs="Times New Roman"/>
          <w:color w:val="000000"/>
          <w:szCs w:val="24"/>
        </w:rPr>
        <w:t>Example: “abnormal heartbeat which may cause fainting”</w:t>
      </w:r>
    </w:p>
    <w:p w14:paraId="3CE4DA69" w14:textId="707F0D87" w:rsidR="00975166" w:rsidRDefault="00E70D4C" w:rsidP="00271D9F">
      <w:pPr>
        <w:pStyle w:val="ListParagraph"/>
        <w:numPr>
          <w:ilvl w:val="0"/>
          <w:numId w:val="1"/>
        </w:numPr>
        <w:spacing w:after="240" w:line="276" w:lineRule="auto"/>
        <w:rPr>
          <w:rFonts w:cs="Times New Roman"/>
          <w:color w:val="000000"/>
          <w:szCs w:val="24"/>
        </w:rPr>
      </w:pPr>
      <w:r>
        <w:rPr>
          <w:rFonts w:cs="Times New Roman"/>
          <w:color w:val="000000"/>
          <w:szCs w:val="24"/>
        </w:rPr>
        <w:lastRenderedPageBreak/>
        <w:t>In cases in which different</w:t>
      </w:r>
      <w:r w:rsidR="009B3CF2">
        <w:rPr>
          <w:rFonts w:cs="Times New Roman"/>
          <w:color w:val="000000"/>
          <w:szCs w:val="24"/>
        </w:rPr>
        <w:t xml:space="preserve"> scientific</w:t>
      </w:r>
      <w:r>
        <w:rPr>
          <w:rFonts w:cs="Times New Roman"/>
          <w:color w:val="000000"/>
          <w:szCs w:val="24"/>
        </w:rPr>
        <w:t xml:space="preserve"> adverse events are translated into</w:t>
      </w:r>
      <w:r w:rsidR="009B3CF2">
        <w:rPr>
          <w:rFonts w:cs="Times New Roman"/>
          <w:color w:val="000000"/>
          <w:szCs w:val="24"/>
        </w:rPr>
        <w:t xml:space="preserve"> similar </w:t>
      </w:r>
      <w:r w:rsidR="0019382A">
        <w:rPr>
          <w:szCs w:val="24"/>
        </w:rPr>
        <w:t>informed consent</w:t>
      </w:r>
      <w:r w:rsidR="009B3CF2">
        <w:rPr>
          <w:rFonts w:cs="Times New Roman"/>
          <w:color w:val="000000"/>
          <w:szCs w:val="24"/>
        </w:rPr>
        <w:t xml:space="preserve"> terms and/or symptoms, t</w:t>
      </w:r>
      <w:r w:rsidR="00D62032" w:rsidRPr="00B34155">
        <w:rPr>
          <w:rFonts w:cs="Times New Roman"/>
          <w:color w:val="000000"/>
          <w:szCs w:val="24"/>
        </w:rPr>
        <w:t xml:space="preserve">he </w:t>
      </w:r>
      <w:r w:rsidR="009A39F4" w:rsidRPr="00271D9F">
        <w:rPr>
          <w:rFonts w:cs="Times New Roman"/>
          <w:i/>
          <w:iCs/>
          <w:color w:val="000000"/>
          <w:szCs w:val="24"/>
        </w:rPr>
        <w:t xml:space="preserve">NCI </w:t>
      </w:r>
      <w:r w:rsidR="002D051B" w:rsidRPr="00271D9F">
        <w:rPr>
          <w:rFonts w:cs="Times New Roman"/>
          <w:i/>
          <w:iCs/>
          <w:color w:val="000000"/>
          <w:szCs w:val="24"/>
        </w:rPr>
        <w:t>Risk</w:t>
      </w:r>
      <w:r w:rsidR="009A39F4" w:rsidRPr="00271D9F">
        <w:rPr>
          <w:rFonts w:cs="Times New Roman"/>
          <w:i/>
          <w:iCs/>
          <w:color w:val="000000"/>
          <w:szCs w:val="24"/>
        </w:rPr>
        <w:t xml:space="preserve"> Term </w:t>
      </w:r>
      <w:r w:rsidR="008C72C2" w:rsidRPr="00271D9F">
        <w:rPr>
          <w:rFonts w:cs="Times New Roman"/>
          <w:i/>
          <w:iCs/>
          <w:color w:val="000000"/>
          <w:szCs w:val="24"/>
        </w:rPr>
        <w:t>Library</w:t>
      </w:r>
      <w:r w:rsidR="008C72C2">
        <w:rPr>
          <w:rFonts w:cs="Times New Roman"/>
          <w:color w:val="000000"/>
          <w:szCs w:val="24"/>
        </w:rPr>
        <w:t xml:space="preserve"> </w:t>
      </w:r>
      <w:r>
        <w:rPr>
          <w:rFonts w:cs="Times New Roman"/>
          <w:color w:val="000000"/>
          <w:szCs w:val="24"/>
        </w:rPr>
        <w:t>also provides “directions” in order to suggest a consistent approach for avoiding redundancy</w:t>
      </w:r>
      <w:r w:rsidR="001A4C4D">
        <w:rPr>
          <w:rFonts w:cs="Times New Roman"/>
          <w:color w:val="000000"/>
          <w:szCs w:val="24"/>
        </w:rPr>
        <w:t xml:space="preserve"> when translating terms</w:t>
      </w:r>
      <w:r>
        <w:rPr>
          <w:rFonts w:cs="Times New Roman"/>
          <w:color w:val="000000"/>
          <w:szCs w:val="24"/>
        </w:rPr>
        <w:t xml:space="preserve"> </w:t>
      </w:r>
      <w:r w:rsidR="001A4C4D">
        <w:rPr>
          <w:rFonts w:cs="Times New Roman"/>
          <w:color w:val="000000"/>
          <w:szCs w:val="24"/>
        </w:rPr>
        <w:t xml:space="preserve">for the </w:t>
      </w:r>
      <w:r w:rsidR="000354EB">
        <w:rPr>
          <w:rFonts w:cs="Times New Roman"/>
          <w:color w:val="000000"/>
          <w:szCs w:val="24"/>
        </w:rPr>
        <w:t>risk</w:t>
      </w:r>
      <w:r w:rsidR="001A4C4D">
        <w:rPr>
          <w:rFonts w:cs="Times New Roman"/>
          <w:color w:val="000000"/>
          <w:szCs w:val="24"/>
        </w:rPr>
        <w:t xml:space="preserve"> </w:t>
      </w:r>
      <w:r w:rsidR="00AF4E7A">
        <w:rPr>
          <w:rFonts w:cs="Times New Roman"/>
          <w:color w:val="000000"/>
          <w:szCs w:val="24"/>
        </w:rPr>
        <w:t xml:space="preserve">lists </w:t>
      </w:r>
      <w:r w:rsidR="001A4C4D">
        <w:rPr>
          <w:rFonts w:cs="Times New Roman"/>
          <w:color w:val="000000"/>
          <w:szCs w:val="24"/>
        </w:rPr>
        <w:t>without losing important potential risk information for patients.</w:t>
      </w:r>
    </w:p>
    <w:p w14:paraId="329BB33B" w14:textId="77777777" w:rsidR="00137911" w:rsidRPr="00B34155" w:rsidRDefault="00137911" w:rsidP="00137911">
      <w:pPr>
        <w:pStyle w:val="ListParagraph"/>
        <w:numPr>
          <w:ilvl w:val="0"/>
          <w:numId w:val="1"/>
        </w:numPr>
        <w:spacing w:line="276" w:lineRule="auto"/>
        <w:rPr>
          <w:rFonts w:cs="Times New Roman"/>
          <w:szCs w:val="24"/>
        </w:rPr>
      </w:pPr>
      <w:r>
        <w:rPr>
          <w:rFonts w:cs="Times New Roman"/>
          <w:color w:val="000000"/>
          <w:szCs w:val="24"/>
        </w:rPr>
        <w:t>Some</w:t>
      </w:r>
      <w:r w:rsidRPr="00B34155">
        <w:rPr>
          <w:rFonts w:cs="Times New Roman"/>
          <w:color w:val="000000"/>
          <w:szCs w:val="24"/>
        </w:rPr>
        <w:t xml:space="preserve"> </w:t>
      </w:r>
      <w:r>
        <w:rPr>
          <w:rFonts w:cs="Times New Roman"/>
          <w:color w:val="000000"/>
          <w:szCs w:val="24"/>
        </w:rPr>
        <w:t>s</w:t>
      </w:r>
      <w:r w:rsidRPr="00B34155">
        <w:rPr>
          <w:rFonts w:cs="Times New Roman"/>
          <w:color w:val="000000"/>
          <w:szCs w:val="24"/>
        </w:rPr>
        <w:t>cientific</w:t>
      </w:r>
      <w:r>
        <w:rPr>
          <w:rFonts w:cs="Times New Roman"/>
          <w:color w:val="000000"/>
          <w:szCs w:val="24"/>
        </w:rPr>
        <w:t xml:space="preserve"> adverse event</w:t>
      </w:r>
      <w:r w:rsidRPr="00B34155">
        <w:rPr>
          <w:rFonts w:cs="Times New Roman"/>
          <w:color w:val="000000"/>
          <w:szCs w:val="24"/>
        </w:rPr>
        <w:t xml:space="preserve"> terms have symptoms that should always be listed</w:t>
      </w:r>
      <w:r>
        <w:rPr>
          <w:rFonts w:cs="Times New Roman"/>
          <w:color w:val="000000"/>
          <w:szCs w:val="24"/>
        </w:rPr>
        <w:t xml:space="preserve"> with the </w:t>
      </w:r>
      <w:r w:rsidR="0019382A">
        <w:rPr>
          <w:szCs w:val="24"/>
        </w:rPr>
        <w:t>informed consent</w:t>
      </w:r>
      <w:r>
        <w:rPr>
          <w:rFonts w:cs="Times New Roman"/>
          <w:color w:val="000000"/>
          <w:szCs w:val="24"/>
        </w:rPr>
        <w:t xml:space="preserve"> term</w:t>
      </w:r>
      <w:r w:rsidRPr="00B34155">
        <w:rPr>
          <w:rFonts w:cs="Times New Roman"/>
          <w:color w:val="000000"/>
          <w:szCs w:val="24"/>
        </w:rPr>
        <w:t xml:space="preserve">. </w:t>
      </w:r>
      <w:r>
        <w:rPr>
          <w:rFonts w:cs="Times New Roman"/>
          <w:color w:val="000000"/>
          <w:szCs w:val="24"/>
        </w:rPr>
        <w:t>T</w:t>
      </w:r>
      <w:r w:rsidRPr="00B34155">
        <w:rPr>
          <w:rFonts w:cs="Times New Roman"/>
          <w:color w:val="000000"/>
          <w:szCs w:val="24"/>
        </w:rPr>
        <w:t xml:space="preserve">he </w:t>
      </w:r>
      <w:r w:rsidRPr="00E90CD3">
        <w:rPr>
          <w:rFonts w:cs="Times New Roman"/>
          <w:i/>
          <w:iCs/>
          <w:color w:val="000000"/>
          <w:szCs w:val="24"/>
        </w:rPr>
        <w:t>NCI Risk Term Library</w:t>
      </w:r>
      <w:r w:rsidRPr="00B34155">
        <w:rPr>
          <w:rFonts w:cs="Times New Roman"/>
          <w:color w:val="000000"/>
          <w:szCs w:val="24"/>
        </w:rPr>
        <w:t xml:space="preserve"> will</w:t>
      </w:r>
      <w:r>
        <w:rPr>
          <w:rFonts w:cs="Times New Roman"/>
          <w:color w:val="000000"/>
          <w:szCs w:val="24"/>
        </w:rPr>
        <w:t xml:space="preserve"> indicate in the “directions”</w:t>
      </w:r>
      <w:r w:rsidRPr="00B34155">
        <w:rPr>
          <w:rFonts w:cs="Times New Roman"/>
          <w:color w:val="000000"/>
          <w:szCs w:val="24"/>
        </w:rPr>
        <w:t xml:space="preserve"> which symptoms cannot be omitted.</w:t>
      </w:r>
    </w:p>
    <w:p w14:paraId="1A37A40B" w14:textId="6A450618" w:rsidR="00137911" w:rsidRPr="00271D9F" w:rsidRDefault="00137911" w:rsidP="00271D9F">
      <w:pPr>
        <w:pStyle w:val="ListParagraph"/>
        <w:numPr>
          <w:ilvl w:val="1"/>
          <w:numId w:val="1"/>
        </w:numPr>
        <w:spacing w:after="240" w:line="276" w:lineRule="auto"/>
        <w:rPr>
          <w:rFonts w:cs="Times New Roman"/>
          <w:szCs w:val="24"/>
        </w:rPr>
      </w:pPr>
      <w:r w:rsidRPr="00B34155">
        <w:rPr>
          <w:rFonts w:cs="Times New Roman"/>
          <w:color w:val="000000"/>
          <w:szCs w:val="24"/>
        </w:rPr>
        <w:t xml:space="preserve">Example: </w:t>
      </w:r>
      <w:r>
        <w:rPr>
          <w:rFonts w:cs="Times New Roman"/>
          <w:color w:val="000000"/>
          <w:szCs w:val="24"/>
        </w:rPr>
        <w:t xml:space="preserve">in the </w:t>
      </w:r>
      <w:r w:rsidR="000354EB">
        <w:rPr>
          <w:rFonts w:cs="Times New Roman"/>
          <w:color w:val="000000"/>
          <w:szCs w:val="24"/>
        </w:rPr>
        <w:t xml:space="preserve">risk </w:t>
      </w:r>
      <w:r w:rsidR="00AF4E7A">
        <w:rPr>
          <w:rFonts w:cs="Times New Roman"/>
          <w:color w:val="000000"/>
          <w:szCs w:val="24"/>
        </w:rPr>
        <w:t>list</w:t>
      </w:r>
      <w:r w:rsidR="000354EB">
        <w:rPr>
          <w:rFonts w:cs="Times New Roman"/>
          <w:color w:val="000000"/>
          <w:szCs w:val="24"/>
        </w:rPr>
        <w:t>s</w:t>
      </w:r>
      <w:r>
        <w:rPr>
          <w:rFonts w:cs="Times New Roman"/>
          <w:color w:val="000000"/>
          <w:szCs w:val="24"/>
        </w:rPr>
        <w:t xml:space="preserve">, the adverse event, </w:t>
      </w:r>
      <w:r w:rsidRPr="00B34155">
        <w:rPr>
          <w:rFonts w:cs="Times New Roman"/>
          <w:color w:val="000000"/>
          <w:szCs w:val="24"/>
        </w:rPr>
        <w:t>Allergic Reaction</w:t>
      </w:r>
      <w:r>
        <w:rPr>
          <w:rFonts w:cs="Times New Roman"/>
          <w:color w:val="000000"/>
          <w:szCs w:val="24"/>
        </w:rPr>
        <w:t>,</w:t>
      </w:r>
      <w:r w:rsidRPr="00B34155">
        <w:rPr>
          <w:rFonts w:cs="Times New Roman"/>
          <w:color w:val="000000"/>
          <w:szCs w:val="24"/>
        </w:rPr>
        <w:t xml:space="preserve"> will always be listed as “</w:t>
      </w:r>
      <w:r>
        <w:rPr>
          <w:rFonts w:cs="Times New Roman"/>
          <w:color w:val="000000"/>
          <w:szCs w:val="24"/>
        </w:rPr>
        <w:t>A</w:t>
      </w:r>
      <w:r w:rsidRPr="00B34155">
        <w:rPr>
          <w:rFonts w:cs="Times New Roman"/>
          <w:color w:val="000000"/>
          <w:szCs w:val="24"/>
        </w:rPr>
        <w:t>llergies which may cause hives, low blood pressure, wheezing, or shortness of breath”.</w:t>
      </w:r>
    </w:p>
    <w:p w14:paraId="639D0A05" w14:textId="6A46F746" w:rsidR="00955416" w:rsidRPr="00B34155" w:rsidRDefault="001A4C4D" w:rsidP="00955416">
      <w:pPr>
        <w:pStyle w:val="ListParagraph"/>
        <w:numPr>
          <w:ilvl w:val="0"/>
          <w:numId w:val="1"/>
        </w:numPr>
        <w:spacing w:line="276" w:lineRule="auto"/>
        <w:rPr>
          <w:rFonts w:cs="Times New Roman"/>
          <w:color w:val="000000"/>
          <w:szCs w:val="24"/>
        </w:rPr>
      </w:pPr>
      <w:r>
        <w:rPr>
          <w:rFonts w:cs="Times New Roman"/>
          <w:color w:val="000000"/>
          <w:szCs w:val="24"/>
        </w:rPr>
        <w:t>A</w:t>
      </w:r>
      <w:r w:rsidR="00643CC8" w:rsidRPr="00B34155">
        <w:rPr>
          <w:rFonts w:cs="Times New Roman"/>
          <w:color w:val="000000"/>
          <w:szCs w:val="24"/>
        </w:rPr>
        <w:t>ll</w:t>
      </w:r>
      <w:r>
        <w:rPr>
          <w:rFonts w:cs="Times New Roman"/>
          <w:color w:val="000000"/>
          <w:szCs w:val="24"/>
        </w:rPr>
        <w:t xml:space="preserve"> appropriately</w:t>
      </w:r>
      <w:r w:rsidR="00643CC8" w:rsidRPr="00B34155">
        <w:rPr>
          <w:rFonts w:cs="Times New Roman"/>
          <w:color w:val="000000"/>
          <w:szCs w:val="24"/>
        </w:rPr>
        <w:t xml:space="preserve"> </w:t>
      </w:r>
      <w:r>
        <w:rPr>
          <w:rFonts w:cs="Times New Roman"/>
          <w:color w:val="000000"/>
          <w:szCs w:val="24"/>
        </w:rPr>
        <w:t xml:space="preserve">de-duplicated, </w:t>
      </w:r>
      <w:r w:rsidR="00997A1D" w:rsidRPr="00B34155">
        <w:rPr>
          <w:rFonts w:cs="Times New Roman"/>
          <w:color w:val="000000"/>
          <w:szCs w:val="24"/>
        </w:rPr>
        <w:t xml:space="preserve">relevant </w:t>
      </w:r>
      <w:r>
        <w:rPr>
          <w:rFonts w:cs="Times New Roman"/>
          <w:color w:val="000000"/>
          <w:szCs w:val="24"/>
        </w:rPr>
        <w:t xml:space="preserve">adverse </w:t>
      </w:r>
      <w:r w:rsidR="00997A1D" w:rsidRPr="00B34155">
        <w:rPr>
          <w:rFonts w:cs="Times New Roman"/>
          <w:color w:val="000000"/>
          <w:szCs w:val="24"/>
        </w:rPr>
        <w:t>event</w:t>
      </w:r>
      <w:r>
        <w:rPr>
          <w:rFonts w:cs="Times New Roman"/>
          <w:color w:val="000000"/>
          <w:szCs w:val="24"/>
        </w:rPr>
        <w:t xml:space="preserve"> </w:t>
      </w:r>
      <w:r w:rsidR="0019382A">
        <w:rPr>
          <w:szCs w:val="24"/>
        </w:rPr>
        <w:t>informed consent</w:t>
      </w:r>
      <w:r>
        <w:rPr>
          <w:rFonts w:cs="Times New Roman"/>
          <w:color w:val="000000"/>
          <w:szCs w:val="24"/>
        </w:rPr>
        <w:t xml:space="preserve"> terms</w:t>
      </w:r>
      <w:r w:rsidR="00997A1D" w:rsidRPr="00B34155">
        <w:rPr>
          <w:rFonts w:cs="Times New Roman"/>
          <w:color w:val="000000"/>
          <w:szCs w:val="24"/>
        </w:rPr>
        <w:t xml:space="preserve"> </w:t>
      </w:r>
      <w:r w:rsidR="00643CC8" w:rsidRPr="00B34155">
        <w:rPr>
          <w:rFonts w:cs="Times New Roman"/>
          <w:color w:val="000000"/>
          <w:szCs w:val="24"/>
        </w:rPr>
        <w:t xml:space="preserve">should be </w:t>
      </w:r>
      <w:r w:rsidR="00B52818" w:rsidRPr="00B34155">
        <w:rPr>
          <w:rFonts w:cs="Times New Roman"/>
          <w:color w:val="000000"/>
          <w:szCs w:val="24"/>
        </w:rPr>
        <w:t xml:space="preserve">included </w:t>
      </w:r>
      <w:r>
        <w:rPr>
          <w:rFonts w:cs="Times New Roman"/>
          <w:color w:val="000000"/>
          <w:szCs w:val="24"/>
        </w:rPr>
        <w:t xml:space="preserve">in the </w:t>
      </w:r>
      <w:r w:rsidR="000354EB">
        <w:rPr>
          <w:rFonts w:cs="Times New Roman"/>
          <w:color w:val="000000"/>
          <w:szCs w:val="24"/>
        </w:rPr>
        <w:t>risk</w:t>
      </w:r>
      <w:r>
        <w:rPr>
          <w:rFonts w:cs="Times New Roman"/>
          <w:color w:val="000000"/>
          <w:szCs w:val="24"/>
        </w:rPr>
        <w:t xml:space="preserve"> </w:t>
      </w:r>
      <w:r w:rsidR="00AF4E7A">
        <w:rPr>
          <w:rFonts w:cs="Times New Roman"/>
          <w:color w:val="000000"/>
          <w:szCs w:val="24"/>
        </w:rPr>
        <w:t xml:space="preserve">list </w:t>
      </w:r>
      <w:r w:rsidR="00B52818" w:rsidRPr="00B34155">
        <w:rPr>
          <w:rFonts w:cs="Times New Roman"/>
          <w:color w:val="000000"/>
          <w:szCs w:val="24"/>
        </w:rPr>
        <w:t>and categorized</w:t>
      </w:r>
      <w:r w:rsidR="00643CC8" w:rsidRPr="00B34155">
        <w:rPr>
          <w:rFonts w:cs="Times New Roman"/>
          <w:color w:val="000000"/>
          <w:szCs w:val="24"/>
        </w:rPr>
        <w:t xml:space="preserve"> under the appropriate</w:t>
      </w:r>
      <w:r>
        <w:rPr>
          <w:rFonts w:cs="Times New Roman"/>
          <w:color w:val="000000"/>
          <w:szCs w:val="24"/>
        </w:rPr>
        <w:t xml:space="preserve"> frequency category. There are three frequency categories-</w:t>
      </w:r>
      <w:r w:rsidR="00643CC8" w:rsidRPr="00B34155">
        <w:rPr>
          <w:rFonts w:cs="Times New Roman"/>
          <w:color w:val="000000"/>
          <w:szCs w:val="24"/>
        </w:rPr>
        <w:t xml:space="preserve"> </w:t>
      </w:r>
      <w:r w:rsidR="00B52818" w:rsidRPr="00B34155">
        <w:rPr>
          <w:rFonts w:cs="Times New Roman"/>
          <w:color w:val="000000"/>
          <w:szCs w:val="24"/>
        </w:rPr>
        <w:t>‘</w:t>
      </w:r>
      <w:r w:rsidR="00643CC8" w:rsidRPr="00B34155">
        <w:rPr>
          <w:rFonts w:cs="Times New Roman"/>
          <w:color w:val="000000"/>
          <w:szCs w:val="24"/>
        </w:rPr>
        <w:t>Common</w:t>
      </w:r>
      <w:r w:rsidR="00997A1D" w:rsidRPr="00B34155">
        <w:rPr>
          <w:rFonts w:cs="Times New Roman"/>
          <w:color w:val="000000"/>
          <w:szCs w:val="24"/>
        </w:rPr>
        <w:t>,</w:t>
      </w:r>
      <w:r w:rsidR="00395F49" w:rsidRPr="00B34155">
        <w:rPr>
          <w:rFonts w:cs="Times New Roman"/>
          <w:color w:val="000000"/>
          <w:szCs w:val="24"/>
        </w:rPr>
        <w:t xml:space="preserve"> </w:t>
      </w:r>
      <w:r w:rsidR="00997A1D" w:rsidRPr="00B34155">
        <w:rPr>
          <w:rFonts w:cs="Times New Roman"/>
          <w:color w:val="000000"/>
          <w:szCs w:val="24"/>
        </w:rPr>
        <w:t>Some May Be Serious</w:t>
      </w:r>
      <w:r>
        <w:rPr>
          <w:rFonts w:cs="Times New Roman"/>
          <w:color w:val="000000"/>
          <w:szCs w:val="24"/>
        </w:rPr>
        <w:t>’ (frequency greater than 20%),</w:t>
      </w:r>
      <w:r w:rsidR="00B52818" w:rsidRPr="00B34155">
        <w:rPr>
          <w:rFonts w:cs="Times New Roman"/>
          <w:color w:val="000000"/>
          <w:szCs w:val="24"/>
        </w:rPr>
        <w:t>’</w:t>
      </w:r>
      <w:r w:rsidR="00643CC8" w:rsidRPr="00B34155">
        <w:rPr>
          <w:rFonts w:cs="Times New Roman"/>
          <w:color w:val="000000"/>
          <w:szCs w:val="24"/>
        </w:rPr>
        <w:t xml:space="preserve"> </w:t>
      </w:r>
      <w:r w:rsidR="00B52818" w:rsidRPr="00B34155">
        <w:rPr>
          <w:rFonts w:cs="Times New Roman"/>
          <w:color w:val="000000"/>
          <w:szCs w:val="24"/>
        </w:rPr>
        <w:t>‘</w:t>
      </w:r>
      <w:r w:rsidR="00643CC8" w:rsidRPr="00B34155">
        <w:rPr>
          <w:rFonts w:cs="Times New Roman"/>
          <w:color w:val="000000"/>
          <w:szCs w:val="24"/>
        </w:rPr>
        <w:t>Occasional</w:t>
      </w:r>
      <w:r w:rsidR="00191A65" w:rsidRPr="00B34155">
        <w:rPr>
          <w:rFonts w:cs="Times New Roman"/>
          <w:color w:val="000000"/>
          <w:szCs w:val="24"/>
        </w:rPr>
        <w:t xml:space="preserve">, </w:t>
      </w:r>
      <w:r w:rsidR="00997A1D" w:rsidRPr="00B34155">
        <w:rPr>
          <w:rFonts w:cs="Times New Roman"/>
          <w:color w:val="000000"/>
          <w:szCs w:val="24"/>
        </w:rPr>
        <w:t>Some M</w:t>
      </w:r>
      <w:r w:rsidR="00191A65" w:rsidRPr="00B34155">
        <w:rPr>
          <w:rFonts w:cs="Times New Roman"/>
          <w:color w:val="000000"/>
          <w:szCs w:val="24"/>
        </w:rPr>
        <w:t xml:space="preserve">ay </w:t>
      </w:r>
      <w:r w:rsidR="00997A1D" w:rsidRPr="00B34155">
        <w:rPr>
          <w:rFonts w:cs="Times New Roman"/>
          <w:color w:val="000000"/>
          <w:szCs w:val="24"/>
        </w:rPr>
        <w:t>B</w:t>
      </w:r>
      <w:r w:rsidR="00191A65" w:rsidRPr="00B34155">
        <w:rPr>
          <w:rFonts w:cs="Times New Roman"/>
          <w:color w:val="000000"/>
          <w:szCs w:val="24"/>
        </w:rPr>
        <w:t>e Serious</w:t>
      </w:r>
      <w:r>
        <w:rPr>
          <w:rFonts w:cs="Times New Roman"/>
          <w:color w:val="000000"/>
          <w:szCs w:val="24"/>
        </w:rPr>
        <w:t>’ (frequency between 4 and 20%),</w:t>
      </w:r>
      <w:r w:rsidR="00B52818" w:rsidRPr="00B34155">
        <w:rPr>
          <w:rFonts w:cs="Times New Roman"/>
          <w:color w:val="000000"/>
          <w:szCs w:val="24"/>
        </w:rPr>
        <w:t>’</w:t>
      </w:r>
      <w:r w:rsidR="00643CC8" w:rsidRPr="00B34155">
        <w:rPr>
          <w:rFonts w:cs="Times New Roman"/>
          <w:color w:val="000000"/>
          <w:szCs w:val="24"/>
        </w:rPr>
        <w:t xml:space="preserve"> and </w:t>
      </w:r>
      <w:r w:rsidR="00B52818" w:rsidRPr="00B34155">
        <w:rPr>
          <w:rFonts w:cs="Times New Roman"/>
          <w:color w:val="000000"/>
          <w:szCs w:val="24"/>
        </w:rPr>
        <w:t>‘</w:t>
      </w:r>
      <w:r w:rsidR="00643CC8" w:rsidRPr="00B34155">
        <w:rPr>
          <w:rFonts w:cs="Times New Roman"/>
          <w:color w:val="000000"/>
          <w:szCs w:val="24"/>
        </w:rPr>
        <w:t>Rare</w:t>
      </w:r>
      <w:r w:rsidR="0039247C" w:rsidRPr="00B34155">
        <w:rPr>
          <w:rFonts w:cs="Times New Roman"/>
          <w:color w:val="000000"/>
          <w:szCs w:val="24"/>
        </w:rPr>
        <w:t>,</w:t>
      </w:r>
      <w:r w:rsidR="00643CC8" w:rsidRPr="00B34155">
        <w:rPr>
          <w:rFonts w:cs="Times New Roman"/>
          <w:color w:val="000000"/>
          <w:szCs w:val="24"/>
        </w:rPr>
        <w:t xml:space="preserve"> </w:t>
      </w:r>
      <w:r w:rsidR="00191A65" w:rsidRPr="00B34155">
        <w:rPr>
          <w:rFonts w:cs="Times New Roman"/>
          <w:color w:val="000000"/>
          <w:szCs w:val="24"/>
        </w:rPr>
        <w:t>and</w:t>
      </w:r>
      <w:r w:rsidR="00643CC8" w:rsidRPr="00B34155">
        <w:rPr>
          <w:rFonts w:cs="Times New Roman"/>
          <w:color w:val="000000"/>
          <w:szCs w:val="24"/>
        </w:rPr>
        <w:t xml:space="preserve"> Serious</w:t>
      </w:r>
      <w:r>
        <w:rPr>
          <w:rFonts w:cs="Times New Roman"/>
          <w:color w:val="000000"/>
          <w:szCs w:val="24"/>
        </w:rPr>
        <w:t>’ (frequency less than 4%).</w:t>
      </w:r>
    </w:p>
    <w:p w14:paraId="1A963B5C" w14:textId="77777777" w:rsidR="009A39F4" w:rsidRPr="00B34155" w:rsidRDefault="009A39F4" w:rsidP="00271D9F">
      <w:pPr>
        <w:pStyle w:val="ListParagraph"/>
        <w:numPr>
          <w:ilvl w:val="1"/>
          <w:numId w:val="1"/>
        </w:numPr>
        <w:spacing w:after="240" w:line="276" w:lineRule="auto"/>
        <w:rPr>
          <w:rFonts w:cs="Times New Roman"/>
          <w:color w:val="000000"/>
          <w:szCs w:val="24"/>
        </w:rPr>
      </w:pPr>
      <w:r w:rsidRPr="00B34155">
        <w:rPr>
          <w:rFonts w:cs="Times New Roman"/>
          <w:color w:val="000000"/>
          <w:szCs w:val="24"/>
        </w:rPr>
        <w:t xml:space="preserve">For </w:t>
      </w:r>
      <w:r w:rsidR="008C72C2">
        <w:rPr>
          <w:rFonts w:cs="Times New Roman"/>
          <w:color w:val="000000"/>
          <w:szCs w:val="24"/>
        </w:rPr>
        <w:t>some</w:t>
      </w:r>
      <w:r w:rsidR="008C72C2" w:rsidRPr="00B34155">
        <w:rPr>
          <w:rFonts w:cs="Times New Roman"/>
          <w:color w:val="000000"/>
          <w:szCs w:val="24"/>
        </w:rPr>
        <w:t xml:space="preserve"> </w:t>
      </w:r>
      <w:r w:rsidRPr="00B34155">
        <w:rPr>
          <w:rFonts w:cs="Times New Roman"/>
          <w:color w:val="000000"/>
          <w:szCs w:val="24"/>
        </w:rPr>
        <w:t>possible side effects, a percentage is also given. When available</w:t>
      </w:r>
      <w:r w:rsidR="00F1435A" w:rsidRPr="00B34155">
        <w:rPr>
          <w:rFonts w:cs="Times New Roman"/>
          <w:color w:val="000000"/>
          <w:szCs w:val="24"/>
        </w:rPr>
        <w:t>,</w:t>
      </w:r>
      <w:r w:rsidRPr="00B34155">
        <w:rPr>
          <w:rFonts w:cs="Times New Roman"/>
          <w:color w:val="000000"/>
          <w:szCs w:val="24"/>
        </w:rPr>
        <w:t xml:space="preserve"> the upper limit of the percentage range listed should be used to determine the frequency category. In the absence of a percentage</w:t>
      </w:r>
      <w:r w:rsidR="008C72C2">
        <w:rPr>
          <w:rFonts w:cs="Times New Roman"/>
          <w:color w:val="000000"/>
          <w:szCs w:val="24"/>
        </w:rPr>
        <w:t xml:space="preserve"> in the FDA </w:t>
      </w:r>
      <w:r w:rsidR="00CD1E37">
        <w:rPr>
          <w:rFonts w:cs="Times New Roman"/>
          <w:color w:val="000000"/>
          <w:szCs w:val="24"/>
        </w:rPr>
        <w:t>p</w:t>
      </w:r>
      <w:r w:rsidR="008C72C2">
        <w:rPr>
          <w:rFonts w:cs="Times New Roman"/>
          <w:color w:val="000000"/>
          <w:szCs w:val="24"/>
        </w:rPr>
        <w:t xml:space="preserve">ackage </w:t>
      </w:r>
      <w:r w:rsidR="00CD1E37">
        <w:rPr>
          <w:rFonts w:cs="Times New Roman"/>
          <w:color w:val="000000"/>
          <w:szCs w:val="24"/>
        </w:rPr>
        <w:t>i</w:t>
      </w:r>
      <w:r w:rsidR="008C72C2">
        <w:rPr>
          <w:rFonts w:cs="Times New Roman"/>
          <w:color w:val="000000"/>
          <w:szCs w:val="24"/>
        </w:rPr>
        <w:t>nsert, a review of other reference sources</w:t>
      </w:r>
      <w:r w:rsidR="001A4C4D">
        <w:rPr>
          <w:rFonts w:cs="Times New Roman"/>
          <w:color w:val="000000"/>
          <w:szCs w:val="24"/>
        </w:rPr>
        <w:t xml:space="preserve"> (</w:t>
      </w:r>
      <w:r w:rsidR="008C72C2">
        <w:rPr>
          <w:rFonts w:cs="Times New Roman"/>
          <w:color w:val="000000"/>
          <w:szCs w:val="24"/>
        </w:rPr>
        <w:t xml:space="preserve">e.g., Lexicomp or </w:t>
      </w:r>
      <w:r w:rsidR="0019626B">
        <w:rPr>
          <w:rFonts w:cs="Times New Roman"/>
          <w:color w:val="000000"/>
          <w:szCs w:val="24"/>
        </w:rPr>
        <w:t>Micromedex</w:t>
      </w:r>
      <w:r w:rsidR="001A4C4D">
        <w:rPr>
          <w:rFonts w:cs="Times New Roman"/>
          <w:color w:val="000000"/>
          <w:szCs w:val="24"/>
        </w:rPr>
        <w:t>)</w:t>
      </w:r>
      <w:r w:rsidR="008C72C2">
        <w:rPr>
          <w:rFonts w:cs="Times New Roman"/>
          <w:color w:val="000000"/>
          <w:szCs w:val="24"/>
        </w:rPr>
        <w:t xml:space="preserve"> may be consulted to make a suggested determination how to categorize side effects within the table</w:t>
      </w:r>
      <w:r w:rsidRPr="00B34155">
        <w:rPr>
          <w:rFonts w:cs="Times New Roman"/>
          <w:color w:val="000000"/>
          <w:szCs w:val="24"/>
        </w:rPr>
        <w:t>.</w:t>
      </w:r>
    </w:p>
    <w:p w14:paraId="106FEE39" w14:textId="205490D5" w:rsidR="00472100" w:rsidRPr="00271D9F" w:rsidRDefault="00643CC8" w:rsidP="00271D9F">
      <w:pPr>
        <w:pStyle w:val="ListParagraph"/>
        <w:numPr>
          <w:ilvl w:val="0"/>
          <w:numId w:val="1"/>
        </w:numPr>
        <w:spacing w:after="240" w:line="276" w:lineRule="auto"/>
        <w:rPr>
          <w:rFonts w:cs="Times New Roman"/>
          <w:color w:val="000000"/>
          <w:szCs w:val="24"/>
        </w:rPr>
      </w:pPr>
      <w:r w:rsidRPr="003B24E3">
        <w:rPr>
          <w:rFonts w:cs="Times New Roman"/>
          <w:color w:val="000000"/>
          <w:szCs w:val="24"/>
        </w:rPr>
        <w:t xml:space="preserve">If </w:t>
      </w:r>
      <w:r w:rsidR="00D84C78" w:rsidRPr="003B24E3">
        <w:rPr>
          <w:rFonts w:cs="Times New Roman"/>
          <w:color w:val="000000"/>
          <w:szCs w:val="24"/>
        </w:rPr>
        <w:t xml:space="preserve">the </w:t>
      </w:r>
      <w:r w:rsidR="009B3CF2" w:rsidRPr="003B24E3">
        <w:rPr>
          <w:rFonts w:cs="Times New Roman"/>
          <w:color w:val="000000"/>
          <w:szCs w:val="24"/>
        </w:rPr>
        <w:t xml:space="preserve">duplicative </w:t>
      </w:r>
      <w:r w:rsidR="0019382A">
        <w:rPr>
          <w:szCs w:val="24"/>
        </w:rPr>
        <w:t>informed consent</w:t>
      </w:r>
      <w:r w:rsidR="0019382A" w:rsidRPr="00B34155">
        <w:rPr>
          <w:szCs w:val="24"/>
        </w:rPr>
        <w:t xml:space="preserve"> </w:t>
      </w:r>
      <w:r w:rsidR="0019382A">
        <w:rPr>
          <w:szCs w:val="24"/>
        </w:rPr>
        <w:t xml:space="preserve">terms </w:t>
      </w:r>
      <w:r w:rsidR="009B3CF2" w:rsidRPr="003B24E3">
        <w:rPr>
          <w:rFonts w:cs="Times New Roman"/>
          <w:color w:val="000000"/>
          <w:szCs w:val="24"/>
        </w:rPr>
        <w:t xml:space="preserve">and/or symptoms are translated from scientific adverse events occurring with different frequencies, the term </w:t>
      </w:r>
      <w:r w:rsidRPr="003B24E3">
        <w:rPr>
          <w:rFonts w:cs="Times New Roman"/>
          <w:color w:val="000000"/>
          <w:szCs w:val="24"/>
        </w:rPr>
        <w:t xml:space="preserve">should be removed from the less frequent category and </w:t>
      </w:r>
      <w:r w:rsidR="00D84C78" w:rsidRPr="003B24E3">
        <w:rPr>
          <w:rFonts w:cs="Times New Roman"/>
          <w:color w:val="000000"/>
          <w:szCs w:val="24"/>
        </w:rPr>
        <w:t xml:space="preserve">placed </w:t>
      </w:r>
      <w:r w:rsidRPr="003B24E3">
        <w:rPr>
          <w:rFonts w:cs="Times New Roman"/>
          <w:color w:val="000000"/>
          <w:szCs w:val="24"/>
        </w:rPr>
        <w:t xml:space="preserve">in </w:t>
      </w:r>
      <w:r w:rsidR="00D84C78" w:rsidRPr="003B24E3">
        <w:rPr>
          <w:rFonts w:cs="Times New Roman"/>
          <w:color w:val="000000"/>
          <w:szCs w:val="24"/>
        </w:rPr>
        <w:t>a</w:t>
      </w:r>
      <w:r w:rsidRPr="003B24E3">
        <w:rPr>
          <w:rFonts w:cs="Times New Roman"/>
          <w:color w:val="000000"/>
          <w:szCs w:val="24"/>
        </w:rPr>
        <w:t xml:space="preserve"> more frequent category</w:t>
      </w:r>
      <w:r w:rsidR="009B3CF2" w:rsidRPr="003B24E3">
        <w:rPr>
          <w:rFonts w:cs="Times New Roman"/>
          <w:color w:val="000000"/>
          <w:szCs w:val="24"/>
        </w:rPr>
        <w:t xml:space="preserve"> in the </w:t>
      </w:r>
      <w:r w:rsidR="000354EB">
        <w:rPr>
          <w:rFonts w:cs="Times New Roman"/>
          <w:color w:val="000000"/>
          <w:szCs w:val="24"/>
        </w:rPr>
        <w:t>risk</w:t>
      </w:r>
      <w:r w:rsidR="009B3CF2" w:rsidRPr="003B24E3">
        <w:rPr>
          <w:rFonts w:cs="Times New Roman"/>
          <w:color w:val="000000"/>
          <w:szCs w:val="24"/>
        </w:rPr>
        <w:t xml:space="preserve"> </w:t>
      </w:r>
      <w:r w:rsidR="00AF4E7A">
        <w:rPr>
          <w:rFonts w:cs="Times New Roman"/>
          <w:color w:val="000000"/>
          <w:szCs w:val="24"/>
        </w:rPr>
        <w:t>list</w:t>
      </w:r>
      <w:r w:rsidR="00997A1D" w:rsidRPr="003B24E3">
        <w:rPr>
          <w:rFonts w:cs="Times New Roman"/>
          <w:color w:val="000000"/>
          <w:szCs w:val="24"/>
        </w:rPr>
        <w:t>.</w:t>
      </w:r>
    </w:p>
    <w:p w14:paraId="3112C438" w14:textId="77777777" w:rsidR="00395F49" w:rsidRPr="00B34155" w:rsidRDefault="0000582F">
      <w:pPr>
        <w:pStyle w:val="ListParagraph"/>
        <w:numPr>
          <w:ilvl w:val="0"/>
          <w:numId w:val="1"/>
        </w:numPr>
        <w:spacing w:line="276" w:lineRule="auto"/>
        <w:rPr>
          <w:rFonts w:cs="Times New Roman"/>
          <w:szCs w:val="24"/>
        </w:rPr>
      </w:pPr>
      <w:r w:rsidRPr="00B34155">
        <w:rPr>
          <w:rFonts w:cs="Times New Roman"/>
          <w:color w:val="000000"/>
          <w:szCs w:val="24"/>
        </w:rPr>
        <w:t xml:space="preserve">If </w:t>
      </w:r>
      <w:r w:rsidR="00130D2E" w:rsidRPr="00B34155">
        <w:rPr>
          <w:rFonts w:cs="Times New Roman"/>
          <w:color w:val="000000"/>
          <w:szCs w:val="24"/>
        </w:rPr>
        <w:t xml:space="preserve">the </w:t>
      </w:r>
      <w:r w:rsidR="00137911">
        <w:rPr>
          <w:rFonts w:cs="Times New Roman"/>
          <w:color w:val="000000"/>
          <w:szCs w:val="24"/>
        </w:rPr>
        <w:t xml:space="preserve">two different scientific adverse events are translated into </w:t>
      </w:r>
      <w:r w:rsidR="00B20F49" w:rsidRPr="00B34155">
        <w:rPr>
          <w:rFonts w:cs="Times New Roman"/>
          <w:color w:val="000000"/>
          <w:szCs w:val="24"/>
        </w:rPr>
        <w:t>a</w:t>
      </w:r>
      <w:r w:rsidR="00137911">
        <w:rPr>
          <w:rFonts w:cs="Times New Roman"/>
          <w:color w:val="000000"/>
          <w:szCs w:val="24"/>
        </w:rPr>
        <w:t xml:space="preserve"> primary </w:t>
      </w:r>
      <w:r w:rsidR="0019382A">
        <w:rPr>
          <w:szCs w:val="24"/>
        </w:rPr>
        <w:t>informed consent</w:t>
      </w:r>
      <w:r w:rsidR="00137911">
        <w:rPr>
          <w:rFonts w:cs="Times New Roman"/>
          <w:color w:val="000000"/>
          <w:szCs w:val="24"/>
        </w:rPr>
        <w:t xml:space="preserve"> term and </w:t>
      </w:r>
      <w:r w:rsidR="00137911" w:rsidRPr="00F60C13">
        <w:rPr>
          <w:rFonts w:cs="Times New Roman"/>
          <w:color w:val="000000"/>
          <w:szCs w:val="24"/>
        </w:rPr>
        <w:t>as</w:t>
      </w:r>
      <w:r w:rsidR="00137911">
        <w:rPr>
          <w:rFonts w:cs="Times New Roman"/>
          <w:color w:val="000000"/>
          <w:szCs w:val="24"/>
        </w:rPr>
        <w:t xml:space="preserve"> a s</w:t>
      </w:r>
      <w:r w:rsidR="00B20F49" w:rsidRPr="00B34155">
        <w:rPr>
          <w:rFonts w:cs="Times New Roman"/>
          <w:color w:val="000000"/>
          <w:szCs w:val="24"/>
        </w:rPr>
        <w:t>ymptom</w:t>
      </w:r>
      <w:r w:rsidR="00137911">
        <w:rPr>
          <w:rFonts w:cs="Times New Roman"/>
          <w:color w:val="000000"/>
          <w:szCs w:val="24"/>
        </w:rPr>
        <w:t xml:space="preserve"> associated with another condition, </w:t>
      </w:r>
      <w:r w:rsidR="00B20F49" w:rsidRPr="00B34155">
        <w:rPr>
          <w:rFonts w:cs="Times New Roman"/>
          <w:color w:val="000000"/>
          <w:szCs w:val="24"/>
        </w:rPr>
        <w:t xml:space="preserve">the </w:t>
      </w:r>
      <w:r w:rsidR="00137911">
        <w:rPr>
          <w:rFonts w:cs="Times New Roman"/>
          <w:color w:val="000000"/>
          <w:szCs w:val="24"/>
        </w:rPr>
        <w:t>s</w:t>
      </w:r>
      <w:r w:rsidR="00B20F49" w:rsidRPr="00B34155">
        <w:rPr>
          <w:rFonts w:cs="Times New Roman"/>
          <w:color w:val="000000"/>
          <w:szCs w:val="24"/>
        </w:rPr>
        <w:t xml:space="preserve">ymptom should be omitted </w:t>
      </w:r>
      <w:r w:rsidR="00137911">
        <w:rPr>
          <w:rFonts w:cs="Times New Roman"/>
          <w:color w:val="000000"/>
          <w:szCs w:val="24"/>
        </w:rPr>
        <w:t xml:space="preserve">(unless the “directions” indicate an exception) </w:t>
      </w:r>
      <w:r w:rsidR="00B20F49" w:rsidRPr="00B34155">
        <w:rPr>
          <w:rFonts w:cs="Times New Roman"/>
          <w:color w:val="000000"/>
          <w:szCs w:val="24"/>
        </w:rPr>
        <w:t xml:space="preserve">and the </w:t>
      </w:r>
      <w:r w:rsidR="00137911">
        <w:rPr>
          <w:rFonts w:cs="Times New Roman"/>
          <w:color w:val="000000"/>
          <w:szCs w:val="24"/>
        </w:rPr>
        <w:t xml:space="preserve">primary </w:t>
      </w:r>
      <w:r w:rsidR="0019382A">
        <w:rPr>
          <w:szCs w:val="24"/>
        </w:rPr>
        <w:t>informed consent</w:t>
      </w:r>
      <w:r w:rsidR="00137911">
        <w:rPr>
          <w:rFonts w:cs="Times New Roman"/>
          <w:color w:val="000000"/>
          <w:szCs w:val="24"/>
        </w:rPr>
        <w:t xml:space="preserve"> term should be</w:t>
      </w:r>
      <w:r w:rsidR="00130D2E" w:rsidRPr="00B34155">
        <w:rPr>
          <w:rFonts w:cs="Times New Roman"/>
          <w:color w:val="000000"/>
          <w:szCs w:val="24"/>
        </w:rPr>
        <w:t xml:space="preserve"> </w:t>
      </w:r>
      <w:r w:rsidR="00137911">
        <w:rPr>
          <w:rFonts w:cs="Times New Roman"/>
          <w:color w:val="000000"/>
          <w:szCs w:val="24"/>
        </w:rPr>
        <w:t>listed, even if it is categorized as occurring less frequently</w:t>
      </w:r>
      <w:r w:rsidR="00B20F49" w:rsidRPr="00B34155">
        <w:rPr>
          <w:rFonts w:cs="Times New Roman"/>
          <w:color w:val="000000"/>
          <w:szCs w:val="24"/>
        </w:rPr>
        <w:t>.</w:t>
      </w:r>
    </w:p>
    <w:p w14:paraId="37FE6512" w14:textId="77777777" w:rsidR="00F67F71" w:rsidRPr="00B34155" w:rsidRDefault="0054300C" w:rsidP="00361F0E">
      <w:pPr>
        <w:pStyle w:val="ListParagraph"/>
        <w:numPr>
          <w:ilvl w:val="1"/>
          <w:numId w:val="1"/>
        </w:numPr>
        <w:spacing w:line="276" w:lineRule="auto"/>
        <w:rPr>
          <w:rFonts w:cs="Times New Roman"/>
          <w:color w:val="000000"/>
          <w:szCs w:val="24"/>
        </w:rPr>
      </w:pPr>
      <w:r w:rsidRPr="00B34155">
        <w:rPr>
          <w:rFonts w:cs="Times New Roman"/>
          <w:color w:val="000000"/>
          <w:szCs w:val="24"/>
        </w:rPr>
        <w:t xml:space="preserve">Example: </w:t>
      </w:r>
      <w:r w:rsidR="000B74E1" w:rsidRPr="00B34155">
        <w:rPr>
          <w:rFonts w:cs="Times New Roman"/>
          <w:color w:val="000000"/>
          <w:szCs w:val="24"/>
        </w:rPr>
        <w:t xml:space="preserve">If “High blood pressure which may cause headaches, tiredness, blurred vision” </w:t>
      </w:r>
      <w:r w:rsidR="00771548" w:rsidRPr="00B34155">
        <w:rPr>
          <w:rFonts w:cs="Times New Roman"/>
          <w:color w:val="000000"/>
          <w:szCs w:val="24"/>
        </w:rPr>
        <w:t xml:space="preserve">is </w:t>
      </w:r>
      <w:r w:rsidR="000B74E1" w:rsidRPr="00B34155">
        <w:rPr>
          <w:rFonts w:cs="Times New Roman"/>
          <w:color w:val="000000"/>
          <w:szCs w:val="24"/>
        </w:rPr>
        <w:t xml:space="preserve">listed in the </w:t>
      </w:r>
      <w:r w:rsidR="0015200D" w:rsidRPr="00B34155">
        <w:rPr>
          <w:rFonts w:cs="Times New Roman"/>
          <w:color w:val="000000"/>
          <w:szCs w:val="24"/>
        </w:rPr>
        <w:t>‘</w:t>
      </w:r>
      <w:r w:rsidR="00F717E3" w:rsidRPr="00B34155">
        <w:rPr>
          <w:rFonts w:cs="Times New Roman"/>
          <w:color w:val="000000"/>
          <w:szCs w:val="24"/>
        </w:rPr>
        <w:t>Common</w:t>
      </w:r>
      <w:r w:rsidR="0015200D" w:rsidRPr="00B34155">
        <w:rPr>
          <w:rFonts w:cs="Times New Roman"/>
          <w:color w:val="000000"/>
          <w:szCs w:val="24"/>
        </w:rPr>
        <w:t>, Some May Be Serious’</w:t>
      </w:r>
      <w:r w:rsidR="00130D2E" w:rsidRPr="00B34155">
        <w:rPr>
          <w:rFonts w:cs="Times New Roman"/>
          <w:color w:val="000000"/>
          <w:szCs w:val="24"/>
        </w:rPr>
        <w:t xml:space="preserve"> category</w:t>
      </w:r>
      <w:r w:rsidR="000B74E1" w:rsidRPr="00B34155">
        <w:rPr>
          <w:rFonts w:cs="Times New Roman"/>
          <w:color w:val="000000"/>
          <w:szCs w:val="24"/>
        </w:rPr>
        <w:t xml:space="preserve"> and the </w:t>
      </w:r>
      <w:r w:rsidR="00F67F71">
        <w:rPr>
          <w:rFonts w:cs="Times New Roman"/>
          <w:color w:val="000000"/>
          <w:szCs w:val="24"/>
        </w:rPr>
        <w:t>primary lay term,</w:t>
      </w:r>
      <w:r w:rsidR="00130D2E" w:rsidRPr="00B34155">
        <w:rPr>
          <w:rFonts w:cs="Times New Roman"/>
          <w:color w:val="000000"/>
          <w:szCs w:val="24"/>
        </w:rPr>
        <w:t xml:space="preserve"> </w:t>
      </w:r>
      <w:r w:rsidR="000B74E1" w:rsidRPr="00B34155">
        <w:rPr>
          <w:rFonts w:cs="Times New Roman"/>
          <w:color w:val="000000"/>
          <w:szCs w:val="24"/>
        </w:rPr>
        <w:t xml:space="preserve">“Tiredness” is listed in the </w:t>
      </w:r>
      <w:r w:rsidR="0015200D" w:rsidRPr="00B34155">
        <w:rPr>
          <w:rFonts w:cs="Times New Roman"/>
          <w:color w:val="000000"/>
          <w:szCs w:val="24"/>
        </w:rPr>
        <w:t>‘</w:t>
      </w:r>
      <w:r w:rsidR="00F717E3" w:rsidRPr="00B34155">
        <w:rPr>
          <w:rFonts w:cs="Times New Roman"/>
          <w:color w:val="000000"/>
          <w:szCs w:val="24"/>
        </w:rPr>
        <w:t>Occasional</w:t>
      </w:r>
      <w:r w:rsidR="00E23C08" w:rsidRPr="00B34155">
        <w:rPr>
          <w:rFonts w:cs="Times New Roman"/>
          <w:color w:val="000000"/>
          <w:szCs w:val="24"/>
        </w:rPr>
        <w:t>,</w:t>
      </w:r>
      <w:r w:rsidR="0015200D" w:rsidRPr="00B34155">
        <w:rPr>
          <w:rFonts w:cs="Times New Roman"/>
          <w:color w:val="000000"/>
          <w:szCs w:val="24"/>
        </w:rPr>
        <w:t xml:space="preserve"> Some</w:t>
      </w:r>
      <w:r w:rsidR="00E23C08" w:rsidRPr="00B34155">
        <w:rPr>
          <w:rFonts w:cs="Times New Roman"/>
          <w:color w:val="000000"/>
          <w:szCs w:val="24"/>
        </w:rPr>
        <w:t xml:space="preserve"> </w:t>
      </w:r>
      <w:r w:rsidR="0015200D" w:rsidRPr="00B34155">
        <w:rPr>
          <w:rFonts w:cs="Times New Roman"/>
          <w:color w:val="000000"/>
          <w:szCs w:val="24"/>
        </w:rPr>
        <w:t>M</w:t>
      </w:r>
      <w:r w:rsidR="00E23C08" w:rsidRPr="00B34155">
        <w:rPr>
          <w:rFonts w:cs="Times New Roman"/>
          <w:color w:val="000000"/>
          <w:szCs w:val="24"/>
        </w:rPr>
        <w:t xml:space="preserve">ay </w:t>
      </w:r>
      <w:r w:rsidR="0015200D" w:rsidRPr="00B34155">
        <w:rPr>
          <w:rFonts w:cs="Times New Roman"/>
          <w:color w:val="000000"/>
          <w:szCs w:val="24"/>
        </w:rPr>
        <w:t>B</w:t>
      </w:r>
      <w:r w:rsidR="00E23C08" w:rsidRPr="00B34155">
        <w:rPr>
          <w:rFonts w:cs="Times New Roman"/>
          <w:color w:val="000000"/>
          <w:szCs w:val="24"/>
        </w:rPr>
        <w:t>e Serious</w:t>
      </w:r>
      <w:r w:rsidR="0015200D" w:rsidRPr="00B34155">
        <w:rPr>
          <w:rFonts w:cs="Times New Roman"/>
          <w:color w:val="000000"/>
          <w:szCs w:val="24"/>
        </w:rPr>
        <w:t>’</w:t>
      </w:r>
      <w:r w:rsidR="000B74E1" w:rsidRPr="00B34155">
        <w:rPr>
          <w:rFonts w:cs="Times New Roman"/>
          <w:color w:val="000000"/>
          <w:szCs w:val="24"/>
        </w:rPr>
        <w:t xml:space="preserve"> </w:t>
      </w:r>
      <w:r w:rsidR="00130D2E" w:rsidRPr="00B34155">
        <w:rPr>
          <w:rFonts w:cs="Times New Roman"/>
          <w:color w:val="000000"/>
          <w:szCs w:val="24"/>
        </w:rPr>
        <w:t>category</w:t>
      </w:r>
      <w:r w:rsidR="000B74E1" w:rsidRPr="00B34155">
        <w:rPr>
          <w:rFonts w:cs="Times New Roman"/>
          <w:color w:val="000000"/>
          <w:szCs w:val="24"/>
        </w:rPr>
        <w:t xml:space="preserve">, the symptom </w:t>
      </w:r>
      <w:r w:rsidR="00130D2E" w:rsidRPr="00B34155">
        <w:rPr>
          <w:rFonts w:cs="Times New Roman"/>
          <w:color w:val="000000"/>
          <w:szCs w:val="24"/>
        </w:rPr>
        <w:t>“T</w:t>
      </w:r>
      <w:r w:rsidR="000B74E1" w:rsidRPr="00B34155">
        <w:rPr>
          <w:rFonts w:cs="Times New Roman"/>
          <w:color w:val="000000"/>
          <w:szCs w:val="24"/>
        </w:rPr>
        <w:t>iredness</w:t>
      </w:r>
      <w:r w:rsidR="00130D2E" w:rsidRPr="00B34155">
        <w:rPr>
          <w:rFonts w:cs="Times New Roman"/>
          <w:color w:val="000000"/>
          <w:szCs w:val="24"/>
        </w:rPr>
        <w:t>”</w:t>
      </w:r>
      <w:r w:rsidR="000B74E1" w:rsidRPr="00B34155">
        <w:rPr>
          <w:rFonts w:cs="Times New Roman"/>
          <w:color w:val="000000"/>
          <w:szCs w:val="24"/>
        </w:rPr>
        <w:t xml:space="preserve"> </w:t>
      </w:r>
      <w:r w:rsidR="00375772" w:rsidRPr="00B34155">
        <w:rPr>
          <w:rFonts w:cs="Times New Roman"/>
          <w:color w:val="000000"/>
          <w:szCs w:val="24"/>
        </w:rPr>
        <w:t>should</w:t>
      </w:r>
      <w:r w:rsidR="000B74E1" w:rsidRPr="00B34155">
        <w:rPr>
          <w:rFonts w:cs="Times New Roman"/>
          <w:color w:val="000000"/>
          <w:szCs w:val="24"/>
        </w:rPr>
        <w:t xml:space="preserve"> </w:t>
      </w:r>
      <w:r w:rsidR="005239C0" w:rsidRPr="00B34155">
        <w:rPr>
          <w:rFonts w:cs="Times New Roman"/>
          <w:color w:val="000000"/>
          <w:szCs w:val="24"/>
        </w:rPr>
        <w:t xml:space="preserve">be </w:t>
      </w:r>
      <w:r w:rsidR="00130D2E" w:rsidRPr="00B34155">
        <w:rPr>
          <w:rFonts w:cs="Times New Roman"/>
          <w:color w:val="000000"/>
          <w:szCs w:val="24"/>
        </w:rPr>
        <w:t xml:space="preserve">removed from the “High blood pressure…” description, </w:t>
      </w:r>
      <w:r w:rsidR="000B74E1" w:rsidRPr="00B34155">
        <w:rPr>
          <w:rFonts w:cs="Times New Roman"/>
          <w:color w:val="000000"/>
          <w:szCs w:val="24"/>
        </w:rPr>
        <w:t>leaving “High blood pressure which may cause headaches or blurred vision”.</w:t>
      </w:r>
      <w:r w:rsidRPr="00B34155">
        <w:rPr>
          <w:rFonts w:cs="Times New Roman"/>
          <w:color w:val="000000"/>
          <w:szCs w:val="24"/>
        </w:rPr>
        <w:t xml:space="preserve"> </w:t>
      </w:r>
      <w:r w:rsidR="00375772" w:rsidRPr="00B34155">
        <w:rPr>
          <w:rFonts w:cs="Times New Roman"/>
          <w:color w:val="000000"/>
          <w:szCs w:val="24"/>
        </w:rPr>
        <w:t>This approach avoids duplication but allows patients to know that “tiredness” may occur with or without high blood pressure.</w:t>
      </w:r>
    </w:p>
    <w:p w14:paraId="35783D61" w14:textId="77777777" w:rsidR="000B74E1" w:rsidRDefault="00F67F71" w:rsidP="00271D9F">
      <w:pPr>
        <w:pStyle w:val="ListParagraph"/>
        <w:numPr>
          <w:ilvl w:val="1"/>
          <w:numId w:val="1"/>
        </w:numPr>
        <w:spacing w:after="240" w:line="276" w:lineRule="auto"/>
        <w:rPr>
          <w:rFonts w:cs="Times New Roman"/>
          <w:color w:val="000000"/>
          <w:szCs w:val="24"/>
        </w:rPr>
      </w:pPr>
      <w:r>
        <w:rPr>
          <w:color w:val="000000"/>
          <w:szCs w:val="24"/>
        </w:rPr>
        <w:t xml:space="preserve">Example: </w:t>
      </w:r>
      <w:r w:rsidR="00157162" w:rsidRPr="00B34155">
        <w:rPr>
          <w:rFonts w:cs="Times New Roman"/>
          <w:color w:val="000000"/>
          <w:szCs w:val="24"/>
        </w:rPr>
        <w:t>W</w:t>
      </w:r>
      <w:r w:rsidR="00AA1BF4" w:rsidRPr="00B34155">
        <w:rPr>
          <w:rFonts w:cs="Times New Roman"/>
          <w:color w:val="000000"/>
          <w:szCs w:val="24"/>
        </w:rPr>
        <w:t>hen “</w:t>
      </w:r>
      <w:r w:rsidR="00CB1AD2" w:rsidRPr="00B34155">
        <w:rPr>
          <w:rFonts w:cs="Times New Roman"/>
          <w:color w:val="000000"/>
          <w:szCs w:val="24"/>
        </w:rPr>
        <w:t>I</w:t>
      </w:r>
      <w:r w:rsidR="00AA1BF4" w:rsidRPr="00B34155">
        <w:rPr>
          <w:rFonts w:cs="Times New Roman"/>
          <w:color w:val="000000"/>
          <w:szCs w:val="24"/>
        </w:rPr>
        <w:t>nfection” and “</w:t>
      </w:r>
      <w:r w:rsidR="00CB1AD2" w:rsidRPr="00B34155">
        <w:rPr>
          <w:rFonts w:cs="Times New Roman"/>
          <w:color w:val="000000"/>
          <w:szCs w:val="24"/>
        </w:rPr>
        <w:t>I</w:t>
      </w:r>
      <w:r w:rsidR="00AA1BF4" w:rsidRPr="00B34155">
        <w:rPr>
          <w:rFonts w:cs="Times New Roman"/>
          <w:color w:val="000000"/>
          <w:szCs w:val="24"/>
        </w:rPr>
        <w:t xml:space="preserve">nfection, especially when white blood cell count is low” are both </w:t>
      </w:r>
      <w:r>
        <w:rPr>
          <w:rFonts w:cs="Times New Roman"/>
          <w:color w:val="000000"/>
          <w:szCs w:val="24"/>
        </w:rPr>
        <w:t>translated from two or more different scientific adverse events</w:t>
      </w:r>
      <w:r w:rsidR="00AA1BF4" w:rsidRPr="00B34155">
        <w:rPr>
          <w:rFonts w:cs="Times New Roman"/>
          <w:color w:val="000000"/>
          <w:szCs w:val="24"/>
        </w:rPr>
        <w:t xml:space="preserve">, </w:t>
      </w:r>
      <w:r w:rsidR="00314F9D" w:rsidRPr="00B34155">
        <w:rPr>
          <w:rFonts w:cs="Times New Roman"/>
          <w:color w:val="000000"/>
          <w:szCs w:val="24"/>
        </w:rPr>
        <w:t>“</w:t>
      </w:r>
      <w:r w:rsidR="00CB1AD2" w:rsidRPr="00B34155">
        <w:rPr>
          <w:rFonts w:cs="Times New Roman"/>
          <w:color w:val="000000"/>
          <w:szCs w:val="24"/>
        </w:rPr>
        <w:t>I</w:t>
      </w:r>
      <w:r w:rsidR="00AA1BF4" w:rsidRPr="00B34155">
        <w:rPr>
          <w:rFonts w:cs="Times New Roman"/>
          <w:color w:val="000000"/>
          <w:szCs w:val="24"/>
        </w:rPr>
        <w:t>nfection</w:t>
      </w:r>
      <w:r w:rsidR="00314F9D" w:rsidRPr="00B34155">
        <w:rPr>
          <w:rFonts w:cs="Times New Roman"/>
          <w:color w:val="000000"/>
          <w:szCs w:val="24"/>
        </w:rPr>
        <w:t>”</w:t>
      </w:r>
      <w:r w:rsidR="00AA1BF4" w:rsidRPr="00B34155">
        <w:rPr>
          <w:rFonts w:cs="Times New Roman"/>
          <w:color w:val="000000"/>
          <w:szCs w:val="24"/>
        </w:rPr>
        <w:t xml:space="preserve"> should be omitted </w:t>
      </w:r>
      <w:r>
        <w:rPr>
          <w:rFonts w:cs="Times New Roman"/>
          <w:color w:val="000000"/>
          <w:szCs w:val="24"/>
        </w:rPr>
        <w:t xml:space="preserve">and </w:t>
      </w:r>
      <w:r w:rsidR="00AA1BF4" w:rsidRPr="00B34155">
        <w:rPr>
          <w:rFonts w:cs="Times New Roman"/>
          <w:color w:val="000000"/>
          <w:szCs w:val="24"/>
        </w:rPr>
        <w:t>only “</w:t>
      </w:r>
      <w:r w:rsidR="00CB1AD2" w:rsidRPr="00B34155">
        <w:rPr>
          <w:rFonts w:cs="Times New Roman"/>
          <w:color w:val="000000"/>
          <w:szCs w:val="24"/>
        </w:rPr>
        <w:t>I</w:t>
      </w:r>
      <w:r w:rsidR="00AA1BF4" w:rsidRPr="00B34155">
        <w:rPr>
          <w:rFonts w:cs="Times New Roman"/>
          <w:color w:val="000000"/>
          <w:szCs w:val="24"/>
        </w:rPr>
        <w:t>nfection, especiall</w:t>
      </w:r>
      <w:r w:rsidR="00BE2DDA" w:rsidRPr="00B34155">
        <w:rPr>
          <w:rFonts w:cs="Times New Roman"/>
          <w:color w:val="000000"/>
          <w:szCs w:val="24"/>
        </w:rPr>
        <w:t>y when white blood cell count is</w:t>
      </w:r>
      <w:r w:rsidR="00AA1BF4" w:rsidRPr="00B34155">
        <w:rPr>
          <w:rFonts w:cs="Times New Roman"/>
          <w:color w:val="000000"/>
          <w:szCs w:val="24"/>
        </w:rPr>
        <w:t xml:space="preserve"> low” </w:t>
      </w:r>
      <w:r>
        <w:rPr>
          <w:rFonts w:cs="Times New Roman"/>
          <w:color w:val="000000"/>
          <w:szCs w:val="24"/>
        </w:rPr>
        <w:t>will be listed</w:t>
      </w:r>
      <w:r w:rsidR="00AA1BF4" w:rsidRPr="00B34155">
        <w:rPr>
          <w:rFonts w:cs="Times New Roman"/>
          <w:color w:val="000000"/>
          <w:szCs w:val="24"/>
        </w:rPr>
        <w:t xml:space="preserve"> in the </w:t>
      </w:r>
      <w:r>
        <w:rPr>
          <w:rFonts w:cs="Times New Roman"/>
          <w:color w:val="000000"/>
          <w:szCs w:val="24"/>
        </w:rPr>
        <w:t>“</w:t>
      </w:r>
      <w:r w:rsidR="00CB1AD2" w:rsidRPr="00B34155">
        <w:rPr>
          <w:rFonts w:cs="Times New Roman"/>
          <w:color w:val="000000"/>
          <w:szCs w:val="24"/>
        </w:rPr>
        <w:t>possible side effects</w:t>
      </w:r>
      <w:r>
        <w:rPr>
          <w:rFonts w:cs="Times New Roman"/>
          <w:color w:val="000000"/>
          <w:szCs w:val="24"/>
        </w:rPr>
        <w:t>” table</w:t>
      </w:r>
      <w:r w:rsidR="00CB1AD2" w:rsidRPr="00B34155">
        <w:rPr>
          <w:rFonts w:cs="Times New Roman"/>
          <w:color w:val="000000"/>
          <w:szCs w:val="24"/>
        </w:rPr>
        <w:t xml:space="preserve">. </w:t>
      </w:r>
      <w:r w:rsidR="00AA1BF4" w:rsidRPr="00B34155">
        <w:rPr>
          <w:rFonts w:cs="Times New Roman"/>
          <w:color w:val="000000"/>
          <w:szCs w:val="24"/>
        </w:rPr>
        <w:t xml:space="preserve">If </w:t>
      </w:r>
      <w:r w:rsidR="00314F9D" w:rsidRPr="00B34155">
        <w:rPr>
          <w:rFonts w:cs="Times New Roman"/>
          <w:color w:val="000000"/>
          <w:szCs w:val="24"/>
        </w:rPr>
        <w:t>“</w:t>
      </w:r>
      <w:r w:rsidR="00CB1AD2" w:rsidRPr="00B34155">
        <w:rPr>
          <w:rFonts w:cs="Times New Roman"/>
          <w:color w:val="000000"/>
          <w:szCs w:val="24"/>
        </w:rPr>
        <w:t>I</w:t>
      </w:r>
      <w:r w:rsidR="00AA1BF4" w:rsidRPr="00B34155">
        <w:rPr>
          <w:rFonts w:cs="Times New Roman"/>
          <w:color w:val="000000"/>
          <w:szCs w:val="24"/>
        </w:rPr>
        <w:t>nfection</w:t>
      </w:r>
      <w:r w:rsidR="00314F9D" w:rsidRPr="00B34155">
        <w:rPr>
          <w:rFonts w:cs="Times New Roman"/>
          <w:color w:val="000000"/>
          <w:szCs w:val="24"/>
        </w:rPr>
        <w:t>”</w:t>
      </w:r>
      <w:r w:rsidR="00AA1BF4" w:rsidRPr="00B34155">
        <w:rPr>
          <w:rFonts w:cs="Times New Roman"/>
          <w:color w:val="000000"/>
          <w:szCs w:val="24"/>
        </w:rPr>
        <w:t xml:space="preserve"> is listed in </w:t>
      </w:r>
      <w:r w:rsidR="00CB1AD2" w:rsidRPr="00B34155">
        <w:rPr>
          <w:rFonts w:cs="Times New Roman"/>
          <w:color w:val="000000"/>
          <w:szCs w:val="24"/>
        </w:rPr>
        <w:t xml:space="preserve">the </w:t>
      </w:r>
      <w:r w:rsidR="00D81362" w:rsidRPr="00B34155">
        <w:rPr>
          <w:rFonts w:cs="Times New Roman"/>
          <w:color w:val="000000"/>
          <w:szCs w:val="24"/>
        </w:rPr>
        <w:t>‘</w:t>
      </w:r>
      <w:r w:rsidR="00F717E3" w:rsidRPr="00B34155">
        <w:rPr>
          <w:rFonts w:cs="Times New Roman"/>
          <w:color w:val="000000"/>
          <w:szCs w:val="24"/>
        </w:rPr>
        <w:t>Common</w:t>
      </w:r>
      <w:r w:rsidR="00D81362" w:rsidRPr="00B34155">
        <w:rPr>
          <w:rFonts w:cs="Times New Roman"/>
          <w:color w:val="000000"/>
          <w:szCs w:val="24"/>
        </w:rPr>
        <w:t>, Some May Be Serious’</w:t>
      </w:r>
      <w:r w:rsidR="00CB1AD2" w:rsidRPr="00B34155">
        <w:rPr>
          <w:rFonts w:cs="Times New Roman"/>
          <w:color w:val="000000"/>
          <w:szCs w:val="24"/>
        </w:rPr>
        <w:t xml:space="preserve"> category</w:t>
      </w:r>
      <w:r w:rsidR="00AA1BF4" w:rsidRPr="00B34155">
        <w:rPr>
          <w:rFonts w:cs="Times New Roman"/>
          <w:color w:val="000000"/>
          <w:szCs w:val="24"/>
        </w:rPr>
        <w:t xml:space="preserve"> and </w:t>
      </w:r>
      <w:r w:rsidR="00314F9D" w:rsidRPr="00B34155">
        <w:rPr>
          <w:rFonts w:cs="Times New Roman"/>
          <w:color w:val="000000"/>
          <w:szCs w:val="24"/>
        </w:rPr>
        <w:t>“</w:t>
      </w:r>
      <w:r w:rsidR="00CB1AD2" w:rsidRPr="00B34155">
        <w:rPr>
          <w:rFonts w:cs="Times New Roman"/>
          <w:color w:val="000000"/>
          <w:szCs w:val="24"/>
        </w:rPr>
        <w:t>I</w:t>
      </w:r>
      <w:r w:rsidR="00AA1BF4" w:rsidRPr="00B34155">
        <w:rPr>
          <w:rFonts w:cs="Times New Roman"/>
          <w:color w:val="000000"/>
          <w:szCs w:val="24"/>
        </w:rPr>
        <w:t>nfection, especially when white blood cell count is low</w:t>
      </w:r>
      <w:r w:rsidR="00314F9D" w:rsidRPr="00B34155">
        <w:rPr>
          <w:rFonts w:cs="Times New Roman"/>
          <w:color w:val="000000"/>
          <w:szCs w:val="24"/>
        </w:rPr>
        <w:t xml:space="preserve">” is listed in </w:t>
      </w:r>
      <w:r w:rsidR="00CB1AD2" w:rsidRPr="00B34155">
        <w:rPr>
          <w:rFonts w:cs="Times New Roman"/>
          <w:color w:val="000000"/>
          <w:szCs w:val="24"/>
        </w:rPr>
        <w:t xml:space="preserve">the </w:t>
      </w:r>
      <w:r w:rsidR="00D81362" w:rsidRPr="00B34155">
        <w:rPr>
          <w:rFonts w:cs="Times New Roman"/>
          <w:color w:val="000000"/>
          <w:szCs w:val="24"/>
        </w:rPr>
        <w:t>‘</w:t>
      </w:r>
      <w:r w:rsidR="00F717E3" w:rsidRPr="00B34155">
        <w:rPr>
          <w:rFonts w:cs="Times New Roman"/>
          <w:color w:val="000000"/>
          <w:szCs w:val="24"/>
        </w:rPr>
        <w:t>Occasional</w:t>
      </w:r>
      <w:r w:rsidR="00564B80" w:rsidRPr="00B34155">
        <w:rPr>
          <w:rFonts w:cs="Times New Roman"/>
          <w:color w:val="000000"/>
          <w:szCs w:val="24"/>
        </w:rPr>
        <w:t xml:space="preserve">, </w:t>
      </w:r>
      <w:r w:rsidR="00D81362" w:rsidRPr="00B34155">
        <w:rPr>
          <w:rFonts w:cs="Times New Roman"/>
          <w:color w:val="000000"/>
          <w:szCs w:val="24"/>
        </w:rPr>
        <w:t>Some M</w:t>
      </w:r>
      <w:r w:rsidR="00564B80" w:rsidRPr="00B34155">
        <w:rPr>
          <w:rFonts w:cs="Times New Roman"/>
          <w:color w:val="000000"/>
          <w:szCs w:val="24"/>
        </w:rPr>
        <w:t xml:space="preserve">ay </w:t>
      </w:r>
      <w:r w:rsidR="00D81362" w:rsidRPr="00B34155">
        <w:rPr>
          <w:rFonts w:cs="Times New Roman"/>
          <w:color w:val="000000"/>
          <w:szCs w:val="24"/>
        </w:rPr>
        <w:t>B</w:t>
      </w:r>
      <w:r w:rsidR="00564B80" w:rsidRPr="00B34155">
        <w:rPr>
          <w:rFonts w:cs="Times New Roman"/>
          <w:color w:val="000000"/>
          <w:szCs w:val="24"/>
        </w:rPr>
        <w:t>e Serious</w:t>
      </w:r>
      <w:r w:rsidR="00D81362" w:rsidRPr="00B34155">
        <w:rPr>
          <w:rFonts w:cs="Times New Roman"/>
          <w:color w:val="000000"/>
          <w:szCs w:val="24"/>
        </w:rPr>
        <w:t>’</w:t>
      </w:r>
      <w:r w:rsidR="00CB1AD2" w:rsidRPr="00B34155">
        <w:rPr>
          <w:rFonts w:cs="Times New Roman"/>
          <w:color w:val="000000"/>
          <w:szCs w:val="24"/>
        </w:rPr>
        <w:t xml:space="preserve"> category</w:t>
      </w:r>
      <w:r w:rsidR="00314F9D" w:rsidRPr="00B34155">
        <w:rPr>
          <w:rFonts w:cs="Times New Roman"/>
          <w:color w:val="000000"/>
          <w:szCs w:val="24"/>
        </w:rPr>
        <w:t>,</w:t>
      </w:r>
      <w:r w:rsidR="00AA1BF4" w:rsidRPr="00B34155">
        <w:rPr>
          <w:rFonts w:cs="Times New Roman"/>
          <w:color w:val="000000"/>
          <w:szCs w:val="24"/>
        </w:rPr>
        <w:t xml:space="preserve"> </w:t>
      </w:r>
      <w:r w:rsidR="00314F9D" w:rsidRPr="00B34155">
        <w:rPr>
          <w:rFonts w:cs="Times New Roman"/>
          <w:color w:val="000000"/>
          <w:szCs w:val="24"/>
        </w:rPr>
        <w:t>“</w:t>
      </w:r>
      <w:r w:rsidR="00CB1AD2" w:rsidRPr="00B34155">
        <w:rPr>
          <w:rFonts w:cs="Times New Roman"/>
          <w:color w:val="000000"/>
          <w:szCs w:val="24"/>
        </w:rPr>
        <w:t>I</w:t>
      </w:r>
      <w:r w:rsidR="00AA1BF4" w:rsidRPr="00B34155">
        <w:rPr>
          <w:rFonts w:cs="Times New Roman"/>
          <w:color w:val="000000"/>
          <w:szCs w:val="24"/>
        </w:rPr>
        <w:t>nfection, especially when white blood cell count is low</w:t>
      </w:r>
      <w:r w:rsidR="00314F9D" w:rsidRPr="00B34155">
        <w:rPr>
          <w:rFonts w:cs="Times New Roman"/>
          <w:color w:val="000000"/>
          <w:szCs w:val="24"/>
        </w:rPr>
        <w:t>”</w:t>
      </w:r>
      <w:r w:rsidR="00AA1BF4" w:rsidRPr="00B34155">
        <w:rPr>
          <w:rFonts w:cs="Times New Roman"/>
          <w:color w:val="000000"/>
          <w:szCs w:val="24"/>
        </w:rPr>
        <w:t xml:space="preserve"> should be listed in the </w:t>
      </w:r>
      <w:r w:rsidR="00D81362" w:rsidRPr="00B34155">
        <w:rPr>
          <w:rFonts w:cs="Times New Roman"/>
          <w:color w:val="000000"/>
          <w:szCs w:val="24"/>
        </w:rPr>
        <w:t>‘</w:t>
      </w:r>
      <w:r w:rsidR="00F717E3" w:rsidRPr="00B34155">
        <w:rPr>
          <w:rFonts w:cs="Times New Roman"/>
          <w:color w:val="000000"/>
          <w:szCs w:val="24"/>
        </w:rPr>
        <w:t>Common</w:t>
      </w:r>
      <w:r w:rsidR="00D81362" w:rsidRPr="00B34155">
        <w:rPr>
          <w:rFonts w:cs="Times New Roman"/>
          <w:color w:val="000000"/>
          <w:szCs w:val="24"/>
        </w:rPr>
        <w:t xml:space="preserve">, </w:t>
      </w:r>
      <w:r>
        <w:rPr>
          <w:rFonts w:cs="Times New Roman"/>
          <w:color w:val="000000"/>
          <w:szCs w:val="24"/>
        </w:rPr>
        <w:t xml:space="preserve">Some </w:t>
      </w:r>
      <w:r w:rsidR="00D81362" w:rsidRPr="00B34155">
        <w:rPr>
          <w:rFonts w:cs="Times New Roman"/>
          <w:color w:val="000000"/>
          <w:szCs w:val="24"/>
        </w:rPr>
        <w:t>May Be Serious’</w:t>
      </w:r>
      <w:r w:rsidR="00AA1BF4" w:rsidRPr="00B34155">
        <w:rPr>
          <w:rFonts w:cs="Times New Roman"/>
          <w:color w:val="000000"/>
          <w:szCs w:val="24"/>
        </w:rPr>
        <w:t xml:space="preserve"> category.</w:t>
      </w:r>
    </w:p>
    <w:p w14:paraId="60D783E9" w14:textId="1FC1C9A3" w:rsidR="006C6512" w:rsidRPr="00B34155" w:rsidRDefault="006C6512" w:rsidP="00271D9F">
      <w:pPr>
        <w:pStyle w:val="ListParagraph"/>
        <w:numPr>
          <w:ilvl w:val="0"/>
          <w:numId w:val="1"/>
        </w:numPr>
        <w:spacing w:after="240" w:line="276" w:lineRule="auto"/>
        <w:rPr>
          <w:rFonts w:cs="Times New Roman"/>
          <w:color w:val="000000"/>
          <w:szCs w:val="24"/>
        </w:rPr>
      </w:pPr>
      <w:r>
        <w:rPr>
          <w:rFonts w:cs="Times New Roman"/>
          <w:color w:val="000000"/>
          <w:szCs w:val="24"/>
        </w:rPr>
        <w:t xml:space="preserve">Scientific adverse events which are known only by abnormal laboratory results, with no accompanying symptoms should not be included in the </w:t>
      </w:r>
      <w:r w:rsidR="000354EB">
        <w:rPr>
          <w:rFonts w:cs="Times New Roman"/>
          <w:color w:val="000000"/>
          <w:szCs w:val="24"/>
        </w:rPr>
        <w:t>risk</w:t>
      </w:r>
      <w:r>
        <w:rPr>
          <w:rFonts w:cs="Times New Roman"/>
          <w:color w:val="000000"/>
          <w:szCs w:val="24"/>
        </w:rPr>
        <w:t xml:space="preserve"> </w:t>
      </w:r>
      <w:r w:rsidR="00AF4E7A">
        <w:rPr>
          <w:rFonts w:cs="Times New Roman"/>
          <w:color w:val="000000"/>
          <w:szCs w:val="24"/>
        </w:rPr>
        <w:t xml:space="preserve">lists </w:t>
      </w:r>
      <w:r>
        <w:rPr>
          <w:rFonts w:cs="Times New Roman"/>
          <w:color w:val="000000"/>
          <w:szCs w:val="24"/>
        </w:rPr>
        <w:t>as these will not be perceived by patients.</w:t>
      </w:r>
    </w:p>
    <w:p w14:paraId="46EC5B09" w14:textId="77777777" w:rsidR="000B74E1" w:rsidRPr="00B34155" w:rsidRDefault="002D4E2E" w:rsidP="00A33130">
      <w:pPr>
        <w:pStyle w:val="ListParagraph"/>
        <w:numPr>
          <w:ilvl w:val="0"/>
          <w:numId w:val="1"/>
        </w:numPr>
        <w:spacing w:line="276" w:lineRule="auto"/>
        <w:rPr>
          <w:rFonts w:cs="Times New Roman"/>
          <w:color w:val="000000"/>
          <w:szCs w:val="24"/>
        </w:rPr>
      </w:pPr>
      <w:r w:rsidRPr="00B34155">
        <w:rPr>
          <w:rFonts w:cs="Times New Roman"/>
          <w:color w:val="000000"/>
          <w:szCs w:val="24"/>
        </w:rPr>
        <w:lastRenderedPageBreak/>
        <w:t>Guidelines for Internal bleeding, bleeding from multiple sites, vaginal bleeding, nose bleed, bleeding in testicles, bleeding in the brain</w:t>
      </w:r>
      <w:r w:rsidR="00A10F07" w:rsidRPr="00B34155">
        <w:rPr>
          <w:rFonts w:cs="Times New Roman"/>
          <w:color w:val="000000"/>
          <w:szCs w:val="24"/>
        </w:rPr>
        <w:t>,</w:t>
      </w:r>
      <w:r w:rsidR="003347D9" w:rsidRPr="00B34155">
        <w:rPr>
          <w:rFonts w:cs="Times New Roman"/>
          <w:color w:val="000000"/>
          <w:szCs w:val="24"/>
        </w:rPr>
        <w:t xml:space="preserve"> and blood in urine:</w:t>
      </w:r>
    </w:p>
    <w:p w14:paraId="746D367E" w14:textId="77777777" w:rsidR="000B74E1" w:rsidRPr="00B34155" w:rsidRDefault="00A10F07" w:rsidP="00A33130">
      <w:pPr>
        <w:pStyle w:val="ListParagraph"/>
        <w:numPr>
          <w:ilvl w:val="1"/>
          <w:numId w:val="1"/>
        </w:numPr>
        <w:spacing w:line="276" w:lineRule="auto"/>
        <w:rPr>
          <w:rFonts w:cs="Times New Roman"/>
          <w:color w:val="000000"/>
          <w:szCs w:val="24"/>
        </w:rPr>
      </w:pPr>
      <w:r w:rsidRPr="00B34155">
        <w:rPr>
          <w:rFonts w:cs="Times New Roman"/>
          <w:color w:val="000000"/>
          <w:szCs w:val="24"/>
        </w:rPr>
        <w:t>When both</w:t>
      </w:r>
      <w:r w:rsidR="000B74E1" w:rsidRPr="00B34155">
        <w:rPr>
          <w:rFonts w:cs="Times New Roman"/>
          <w:color w:val="000000"/>
          <w:szCs w:val="24"/>
        </w:rPr>
        <w:t xml:space="preserve"> the</w:t>
      </w:r>
      <w:r w:rsidR="0019382A" w:rsidRPr="0019382A">
        <w:rPr>
          <w:szCs w:val="24"/>
        </w:rPr>
        <w:t xml:space="preserve"> </w:t>
      </w:r>
      <w:r w:rsidR="0019382A">
        <w:rPr>
          <w:szCs w:val="24"/>
        </w:rPr>
        <w:t>informed consent</w:t>
      </w:r>
      <w:r w:rsidR="006C6512">
        <w:rPr>
          <w:rFonts w:cs="Times New Roman"/>
          <w:color w:val="000000"/>
          <w:szCs w:val="24"/>
        </w:rPr>
        <w:t xml:space="preserve"> terms</w:t>
      </w:r>
      <w:r w:rsidRPr="00B34155">
        <w:rPr>
          <w:rFonts w:cs="Times New Roman"/>
          <w:color w:val="000000"/>
          <w:szCs w:val="24"/>
        </w:rPr>
        <w:t xml:space="preserve"> </w:t>
      </w:r>
      <w:r w:rsidR="000B74E1" w:rsidRPr="00B34155">
        <w:rPr>
          <w:rFonts w:cs="Times New Roman"/>
          <w:color w:val="000000"/>
          <w:szCs w:val="24"/>
        </w:rPr>
        <w:t xml:space="preserve">“Internal bleeding” and </w:t>
      </w:r>
      <w:r w:rsidR="002D4E2E" w:rsidRPr="00B34155">
        <w:rPr>
          <w:rFonts w:cs="Times New Roman"/>
          <w:color w:val="000000"/>
          <w:szCs w:val="24"/>
        </w:rPr>
        <w:t>“</w:t>
      </w:r>
      <w:r w:rsidR="006C6512">
        <w:rPr>
          <w:rFonts w:cs="Times New Roman"/>
          <w:color w:val="000000"/>
          <w:szCs w:val="24"/>
        </w:rPr>
        <w:t>B</w:t>
      </w:r>
      <w:r w:rsidR="000B74E1" w:rsidRPr="00B34155">
        <w:rPr>
          <w:rFonts w:cs="Times New Roman"/>
          <w:color w:val="000000"/>
          <w:szCs w:val="24"/>
        </w:rPr>
        <w:t>lood in urine</w:t>
      </w:r>
      <w:r w:rsidR="002D4E2E" w:rsidRPr="00B34155">
        <w:rPr>
          <w:rFonts w:cs="Times New Roman"/>
          <w:color w:val="000000"/>
          <w:szCs w:val="24"/>
        </w:rPr>
        <w:t>”</w:t>
      </w:r>
      <w:r w:rsidR="000B74E1" w:rsidRPr="00B34155">
        <w:rPr>
          <w:rFonts w:cs="Times New Roman"/>
          <w:color w:val="000000"/>
          <w:szCs w:val="24"/>
        </w:rPr>
        <w:t xml:space="preserve"> </w:t>
      </w:r>
      <w:r w:rsidRPr="00B34155">
        <w:rPr>
          <w:rFonts w:cs="Times New Roman"/>
          <w:color w:val="000000"/>
          <w:szCs w:val="24"/>
        </w:rPr>
        <w:t xml:space="preserve">are </w:t>
      </w:r>
      <w:r w:rsidR="006C6512">
        <w:rPr>
          <w:rFonts w:cs="Times New Roman"/>
          <w:color w:val="000000"/>
          <w:szCs w:val="24"/>
        </w:rPr>
        <w:t>translated from two different scientific adverse events:</w:t>
      </w:r>
    </w:p>
    <w:p w14:paraId="1CD071E4" w14:textId="77777777" w:rsidR="000B74E1" w:rsidRPr="00B34155" w:rsidRDefault="003347D9" w:rsidP="00A33130">
      <w:pPr>
        <w:pStyle w:val="ListParagraph"/>
        <w:numPr>
          <w:ilvl w:val="2"/>
          <w:numId w:val="1"/>
        </w:numPr>
        <w:spacing w:line="276" w:lineRule="auto"/>
        <w:rPr>
          <w:rFonts w:cs="Times New Roman"/>
          <w:color w:val="000000"/>
          <w:szCs w:val="24"/>
        </w:rPr>
      </w:pPr>
      <w:r w:rsidRPr="00B34155">
        <w:rPr>
          <w:rFonts w:cs="Times New Roman"/>
          <w:color w:val="000000"/>
          <w:szCs w:val="24"/>
        </w:rPr>
        <w:t>List Internal bleeding first.</w:t>
      </w:r>
    </w:p>
    <w:p w14:paraId="03AE03E2" w14:textId="77777777" w:rsidR="002D4E2E" w:rsidRPr="00B34155" w:rsidRDefault="000B74E1" w:rsidP="00A33130">
      <w:pPr>
        <w:pStyle w:val="ListParagraph"/>
        <w:numPr>
          <w:ilvl w:val="2"/>
          <w:numId w:val="1"/>
        </w:numPr>
        <w:spacing w:line="276" w:lineRule="auto"/>
        <w:rPr>
          <w:rFonts w:cs="Times New Roman"/>
          <w:color w:val="000000"/>
          <w:szCs w:val="24"/>
        </w:rPr>
      </w:pPr>
      <w:r w:rsidRPr="00B34155">
        <w:rPr>
          <w:rFonts w:cs="Times New Roman"/>
          <w:color w:val="000000"/>
          <w:szCs w:val="24"/>
        </w:rPr>
        <w:t xml:space="preserve">List all </w:t>
      </w:r>
      <w:r w:rsidR="00A10F07" w:rsidRPr="00B34155">
        <w:rPr>
          <w:rFonts w:cs="Times New Roman"/>
          <w:color w:val="000000"/>
          <w:szCs w:val="24"/>
        </w:rPr>
        <w:t>S</w:t>
      </w:r>
      <w:r w:rsidRPr="00B34155">
        <w:rPr>
          <w:rFonts w:cs="Times New Roman"/>
          <w:color w:val="000000"/>
          <w:szCs w:val="24"/>
        </w:rPr>
        <w:t>ymptoms associated with all internal bleeding, omitting duplicates.</w:t>
      </w:r>
    </w:p>
    <w:p w14:paraId="45D7B697" w14:textId="77777777" w:rsidR="000B74E1" w:rsidRPr="00B34155" w:rsidRDefault="002D4E2E" w:rsidP="00FE1223">
      <w:pPr>
        <w:pStyle w:val="ListParagraph"/>
        <w:numPr>
          <w:ilvl w:val="3"/>
          <w:numId w:val="1"/>
        </w:numPr>
        <w:spacing w:line="276" w:lineRule="auto"/>
        <w:rPr>
          <w:rFonts w:cs="Times New Roman"/>
          <w:color w:val="000000"/>
          <w:szCs w:val="24"/>
        </w:rPr>
      </w:pPr>
      <w:r w:rsidRPr="00B34155">
        <w:rPr>
          <w:rFonts w:cs="Times New Roman"/>
          <w:color w:val="000000"/>
          <w:szCs w:val="24"/>
        </w:rPr>
        <w:t xml:space="preserve">Example: </w:t>
      </w:r>
      <w:r w:rsidR="0053099C" w:rsidRPr="00B34155">
        <w:rPr>
          <w:rFonts w:cs="Times New Roman"/>
          <w:color w:val="000000"/>
          <w:szCs w:val="24"/>
        </w:rPr>
        <w:t>“</w:t>
      </w:r>
      <w:r w:rsidR="000B74E1" w:rsidRPr="00B34155">
        <w:rPr>
          <w:rFonts w:cs="Times New Roman"/>
          <w:color w:val="000000"/>
          <w:szCs w:val="24"/>
        </w:rPr>
        <w:t>Internal bleeding which may cause black</w:t>
      </w:r>
      <w:r w:rsidR="00A10F07" w:rsidRPr="00B34155">
        <w:rPr>
          <w:rFonts w:cs="Times New Roman"/>
          <w:color w:val="000000"/>
          <w:szCs w:val="24"/>
        </w:rPr>
        <w:t>,</w:t>
      </w:r>
      <w:r w:rsidR="000B74E1" w:rsidRPr="00B34155">
        <w:rPr>
          <w:rFonts w:cs="Times New Roman"/>
          <w:color w:val="000000"/>
          <w:szCs w:val="24"/>
        </w:rPr>
        <w:t xml:space="preserve"> tarry stool or coughing up blood</w:t>
      </w:r>
      <w:r w:rsidR="0053099C" w:rsidRPr="00B34155">
        <w:rPr>
          <w:rFonts w:cs="Times New Roman"/>
          <w:color w:val="000000"/>
          <w:szCs w:val="24"/>
        </w:rPr>
        <w:t>”</w:t>
      </w:r>
    </w:p>
    <w:p w14:paraId="7F848F40" w14:textId="77777777" w:rsidR="002D4E2E" w:rsidRPr="00B34155" w:rsidRDefault="00A10F07" w:rsidP="00A33130">
      <w:pPr>
        <w:pStyle w:val="ListParagraph"/>
        <w:numPr>
          <w:ilvl w:val="2"/>
          <w:numId w:val="1"/>
        </w:numPr>
        <w:spacing w:line="276" w:lineRule="auto"/>
        <w:rPr>
          <w:rFonts w:cs="Times New Roman"/>
          <w:color w:val="000000"/>
          <w:szCs w:val="24"/>
        </w:rPr>
      </w:pPr>
      <w:r w:rsidRPr="00B34155">
        <w:rPr>
          <w:rFonts w:cs="Times New Roman"/>
          <w:color w:val="000000"/>
          <w:szCs w:val="24"/>
        </w:rPr>
        <w:t xml:space="preserve">Then add </w:t>
      </w:r>
      <w:r w:rsidR="0053099C" w:rsidRPr="00B34155">
        <w:rPr>
          <w:rFonts w:cs="Times New Roman"/>
          <w:color w:val="000000"/>
          <w:szCs w:val="24"/>
        </w:rPr>
        <w:t>“</w:t>
      </w:r>
      <w:r w:rsidR="000B74E1" w:rsidRPr="00B34155">
        <w:rPr>
          <w:rFonts w:cs="Times New Roman"/>
          <w:color w:val="000000"/>
          <w:szCs w:val="24"/>
        </w:rPr>
        <w:t>blood in urine</w:t>
      </w:r>
      <w:r w:rsidR="0053099C" w:rsidRPr="00B34155">
        <w:rPr>
          <w:rFonts w:cs="Times New Roman"/>
          <w:color w:val="000000"/>
          <w:szCs w:val="24"/>
        </w:rPr>
        <w:t>”</w:t>
      </w:r>
      <w:r w:rsidR="000B74E1" w:rsidRPr="00B34155">
        <w:rPr>
          <w:rFonts w:cs="Times New Roman"/>
          <w:color w:val="000000"/>
          <w:szCs w:val="24"/>
        </w:rPr>
        <w:t xml:space="preserve"> to the symptoms following </w:t>
      </w:r>
      <w:r w:rsidR="0053099C" w:rsidRPr="00B34155">
        <w:rPr>
          <w:rFonts w:cs="Times New Roman"/>
          <w:color w:val="000000"/>
          <w:szCs w:val="24"/>
        </w:rPr>
        <w:t>“</w:t>
      </w:r>
      <w:r w:rsidR="000B74E1" w:rsidRPr="00B34155">
        <w:rPr>
          <w:rFonts w:cs="Times New Roman"/>
          <w:color w:val="000000"/>
          <w:szCs w:val="24"/>
        </w:rPr>
        <w:t xml:space="preserve">internal bleeding which may cause </w:t>
      </w:r>
      <w:r w:rsidR="0053099C" w:rsidRPr="00B34155">
        <w:rPr>
          <w:rFonts w:cs="Times New Roman"/>
          <w:color w:val="000000"/>
          <w:szCs w:val="24"/>
        </w:rPr>
        <w:t>…”</w:t>
      </w:r>
    </w:p>
    <w:p w14:paraId="1B7886A2" w14:textId="77777777" w:rsidR="000B74E1" w:rsidRPr="00B34155" w:rsidRDefault="002D4E2E" w:rsidP="00FE1223">
      <w:pPr>
        <w:pStyle w:val="ListParagraph"/>
        <w:numPr>
          <w:ilvl w:val="3"/>
          <w:numId w:val="1"/>
        </w:numPr>
        <w:spacing w:line="276" w:lineRule="auto"/>
        <w:rPr>
          <w:rFonts w:cs="Times New Roman"/>
          <w:color w:val="000000"/>
          <w:szCs w:val="24"/>
        </w:rPr>
      </w:pPr>
      <w:r w:rsidRPr="00B34155">
        <w:rPr>
          <w:rFonts w:cs="Times New Roman"/>
          <w:color w:val="000000"/>
          <w:szCs w:val="24"/>
        </w:rPr>
        <w:t xml:space="preserve">Example: </w:t>
      </w:r>
      <w:r w:rsidR="0053099C" w:rsidRPr="00B34155">
        <w:rPr>
          <w:rFonts w:cs="Times New Roman"/>
          <w:color w:val="000000"/>
          <w:szCs w:val="24"/>
        </w:rPr>
        <w:t>“</w:t>
      </w:r>
      <w:r w:rsidR="000B74E1" w:rsidRPr="00B34155">
        <w:rPr>
          <w:rFonts w:cs="Times New Roman"/>
          <w:color w:val="000000"/>
          <w:szCs w:val="24"/>
        </w:rPr>
        <w:t>Internal bleeding which may cau</w:t>
      </w:r>
      <w:r w:rsidRPr="00B34155">
        <w:rPr>
          <w:rFonts w:cs="Times New Roman"/>
          <w:color w:val="000000"/>
          <w:szCs w:val="24"/>
        </w:rPr>
        <w:t xml:space="preserve">se </w:t>
      </w:r>
      <w:r w:rsidR="00A10F07" w:rsidRPr="00B34155">
        <w:rPr>
          <w:rFonts w:cs="Times New Roman"/>
          <w:color w:val="000000"/>
          <w:szCs w:val="24"/>
        </w:rPr>
        <w:t>black, tarry stool</w:t>
      </w:r>
      <w:r w:rsidR="00F22552" w:rsidRPr="00B34155">
        <w:rPr>
          <w:rFonts w:cs="Times New Roman"/>
          <w:color w:val="000000"/>
          <w:szCs w:val="24"/>
        </w:rPr>
        <w:t>, coughing up blood,</w:t>
      </w:r>
      <w:r w:rsidRPr="00B34155">
        <w:rPr>
          <w:rFonts w:cs="Times New Roman"/>
          <w:color w:val="000000"/>
          <w:szCs w:val="24"/>
        </w:rPr>
        <w:t xml:space="preserve"> or blood in urine</w:t>
      </w:r>
      <w:r w:rsidR="0053099C" w:rsidRPr="00B34155">
        <w:rPr>
          <w:rFonts w:cs="Times New Roman"/>
          <w:color w:val="000000"/>
          <w:szCs w:val="24"/>
        </w:rPr>
        <w:t>”</w:t>
      </w:r>
    </w:p>
    <w:p w14:paraId="79D1BC68" w14:textId="77777777" w:rsidR="000B74E1" w:rsidRPr="00B34155" w:rsidRDefault="001F2F61" w:rsidP="00A33130">
      <w:pPr>
        <w:pStyle w:val="ListParagraph"/>
        <w:numPr>
          <w:ilvl w:val="1"/>
          <w:numId w:val="1"/>
        </w:numPr>
        <w:spacing w:line="276" w:lineRule="auto"/>
        <w:rPr>
          <w:rFonts w:cs="Times New Roman"/>
          <w:color w:val="000000"/>
          <w:szCs w:val="24"/>
        </w:rPr>
      </w:pPr>
      <w:r>
        <w:rPr>
          <w:rFonts w:cs="Times New Roman"/>
          <w:color w:val="000000"/>
          <w:szCs w:val="24"/>
        </w:rPr>
        <w:t xml:space="preserve">When </w:t>
      </w:r>
      <w:r w:rsidR="0019382A">
        <w:rPr>
          <w:szCs w:val="24"/>
        </w:rPr>
        <w:t>informed consent</w:t>
      </w:r>
      <w:r>
        <w:rPr>
          <w:rFonts w:cs="Times New Roman"/>
          <w:color w:val="000000"/>
          <w:szCs w:val="24"/>
        </w:rPr>
        <w:t xml:space="preserve"> terms such as</w:t>
      </w:r>
      <w:r w:rsidR="000B74E1" w:rsidRPr="00B34155">
        <w:rPr>
          <w:rFonts w:cs="Times New Roman"/>
          <w:color w:val="000000"/>
          <w:szCs w:val="24"/>
        </w:rPr>
        <w:t xml:space="preserve"> “Bleeding f</w:t>
      </w:r>
      <w:r w:rsidR="0053099C" w:rsidRPr="00B34155">
        <w:rPr>
          <w:rFonts w:cs="Times New Roman"/>
          <w:color w:val="000000"/>
          <w:szCs w:val="24"/>
        </w:rPr>
        <w:t>ro</w:t>
      </w:r>
      <w:r w:rsidR="000B74E1" w:rsidRPr="00B34155">
        <w:rPr>
          <w:rFonts w:cs="Times New Roman"/>
          <w:color w:val="000000"/>
          <w:szCs w:val="24"/>
        </w:rPr>
        <w:t>m multiple sites</w:t>
      </w:r>
      <w:r w:rsidR="0053099C" w:rsidRPr="00B34155">
        <w:rPr>
          <w:rFonts w:cs="Times New Roman"/>
          <w:color w:val="000000"/>
          <w:szCs w:val="24"/>
        </w:rPr>
        <w:t>”</w:t>
      </w:r>
      <w:r w:rsidR="00856519">
        <w:rPr>
          <w:rFonts w:cs="Times New Roman"/>
          <w:color w:val="000000"/>
          <w:szCs w:val="24"/>
        </w:rPr>
        <w:t>,</w:t>
      </w:r>
      <w:r w:rsidR="000B74E1" w:rsidRPr="00B34155">
        <w:rPr>
          <w:rFonts w:cs="Times New Roman"/>
          <w:color w:val="000000"/>
          <w:szCs w:val="24"/>
        </w:rPr>
        <w:t xml:space="preserve"> </w:t>
      </w:r>
      <w:r w:rsidR="0053099C" w:rsidRPr="00B34155">
        <w:rPr>
          <w:rFonts w:cs="Times New Roman"/>
          <w:color w:val="000000"/>
          <w:szCs w:val="24"/>
        </w:rPr>
        <w:t>“</w:t>
      </w:r>
      <w:r w:rsidR="002F70C3" w:rsidRPr="00B34155">
        <w:rPr>
          <w:rFonts w:cs="Times New Roman"/>
          <w:color w:val="000000"/>
          <w:szCs w:val="24"/>
        </w:rPr>
        <w:t>bleeding in the testi</w:t>
      </w:r>
      <w:r w:rsidR="000B74E1" w:rsidRPr="00B34155">
        <w:rPr>
          <w:rFonts w:cs="Times New Roman"/>
          <w:color w:val="000000"/>
          <w:szCs w:val="24"/>
        </w:rPr>
        <w:t>s</w:t>
      </w:r>
      <w:r w:rsidR="00F22552" w:rsidRPr="00B34155">
        <w:rPr>
          <w:rFonts w:cs="Times New Roman"/>
          <w:color w:val="000000"/>
          <w:szCs w:val="24"/>
        </w:rPr>
        <w:t>”</w:t>
      </w:r>
      <w:r w:rsidR="000B74E1" w:rsidRPr="00B34155">
        <w:rPr>
          <w:rFonts w:cs="Times New Roman"/>
          <w:color w:val="000000"/>
          <w:szCs w:val="24"/>
        </w:rPr>
        <w:t xml:space="preserve">, </w:t>
      </w:r>
      <w:r w:rsidR="00E77F13" w:rsidRPr="00B34155">
        <w:rPr>
          <w:rFonts w:cs="Times New Roman"/>
          <w:color w:val="000000"/>
          <w:szCs w:val="24"/>
        </w:rPr>
        <w:t>“</w:t>
      </w:r>
      <w:r w:rsidR="000B74E1" w:rsidRPr="00B34155">
        <w:rPr>
          <w:rFonts w:cs="Times New Roman"/>
          <w:color w:val="000000"/>
          <w:szCs w:val="24"/>
        </w:rPr>
        <w:t>bleeding in the brain</w:t>
      </w:r>
      <w:r w:rsidR="00E77F13" w:rsidRPr="00B34155">
        <w:rPr>
          <w:rFonts w:cs="Times New Roman"/>
          <w:color w:val="000000"/>
          <w:szCs w:val="24"/>
        </w:rPr>
        <w:t>”</w:t>
      </w:r>
      <w:r w:rsidR="000B74E1" w:rsidRPr="00B34155">
        <w:rPr>
          <w:rFonts w:cs="Times New Roman"/>
          <w:color w:val="000000"/>
          <w:szCs w:val="24"/>
        </w:rPr>
        <w:t xml:space="preserve">, </w:t>
      </w:r>
      <w:r w:rsidR="00F22552" w:rsidRPr="00B34155">
        <w:rPr>
          <w:rFonts w:cs="Times New Roman"/>
          <w:color w:val="000000"/>
          <w:szCs w:val="24"/>
        </w:rPr>
        <w:t>“</w:t>
      </w:r>
      <w:r w:rsidR="000B74E1" w:rsidRPr="00B34155">
        <w:rPr>
          <w:rFonts w:cs="Times New Roman"/>
          <w:color w:val="000000"/>
          <w:szCs w:val="24"/>
        </w:rPr>
        <w:t>vaginal bleeding</w:t>
      </w:r>
      <w:r w:rsidR="00F22552" w:rsidRPr="00B34155">
        <w:rPr>
          <w:rFonts w:cs="Times New Roman"/>
          <w:color w:val="000000"/>
          <w:szCs w:val="24"/>
        </w:rPr>
        <w:t>”</w:t>
      </w:r>
      <w:r w:rsidR="000B74E1" w:rsidRPr="00B34155">
        <w:rPr>
          <w:rFonts w:cs="Times New Roman"/>
          <w:color w:val="000000"/>
          <w:szCs w:val="24"/>
        </w:rPr>
        <w:t xml:space="preserve">, </w:t>
      </w:r>
      <w:r w:rsidR="00856519">
        <w:rPr>
          <w:rFonts w:cs="Times New Roman"/>
          <w:color w:val="000000"/>
          <w:szCs w:val="24"/>
        </w:rPr>
        <w:t xml:space="preserve">and </w:t>
      </w:r>
      <w:r w:rsidR="00F22552" w:rsidRPr="00B34155">
        <w:rPr>
          <w:rFonts w:cs="Times New Roman"/>
          <w:color w:val="000000"/>
          <w:szCs w:val="24"/>
        </w:rPr>
        <w:t>“</w:t>
      </w:r>
      <w:r w:rsidR="000B74E1" w:rsidRPr="00B34155">
        <w:rPr>
          <w:rFonts w:cs="Times New Roman"/>
          <w:color w:val="000000"/>
          <w:szCs w:val="24"/>
        </w:rPr>
        <w:t>nose bleeds</w:t>
      </w:r>
      <w:r w:rsidR="0053099C" w:rsidRPr="00B34155">
        <w:rPr>
          <w:rFonts w:cs="Times New Roman"/>
          <w:color w:val="000000"/>
          <w:szCs w:val="24"/>
        </w:rPr>
        <w:t>”</w:t>
      </w:r>
      <w:r w:rsidR="00F22552" w:rsidRPr="00B34155">
        <w:rPr>
          <w:rFonts w:cs="Times New Roman"/>
          <w:color w:val="000000"/>
          <w:szCs w:val="24"/>
        </w:rPr>
        <w:t>,</w:t>
      </w:r>
      <w:r w:rsidR="000B74E1" w:rsidRPr="00B34155">
        <w:rPr>
          <w:rFonts w:cs="Times New Roman"/>
          <w:color w:val="000000"/>
          <w:szCs w:val="24"/>
        </w:rPr>
        <w:t xml:space="preserve"> </w:t>
      </w:r>
      <w:r w:rsidR="00856519">
        <w:rPr>
          <w:rFonts w:cs="Times New Roman"/>
          <w:color w:val="000000"/>
          <w:szCs w:val="24"/>
        </w:rPr>
        <w:t xml:space="preserve">are translated from multiple scientific adverse events, </w:t>
      </w:r>
      <w:r w:rsidR="000B74E1" w:rsidRPr="00B34155">
        <w:rPr>
          <w:rFonts w:cs="Times New Roman"/>
          <w:color w:val="000000"/>
          <w:szCs w:val="24"/>
        </w:rPr>
        <w:t>follow the guidelines below:</w:t>
      </w:r>
    </w:p>
    <w:p w14:paraId="7E35CD86" w14:textId="77777777" w:rsidR="000B74E1" w:rsidRPr="00B34155" w:rsidRDefault="000B74E1" w:rsidP="00A33130">
      <w:pPr>
        <w:pStyle w:val="ListParagraph"/>
        <w:numPr>
          <w:ilvl w:val="2"/>
          <w:numId w:val="1"/>
        </w:numPr>
        <w:spacing w:line="276" w:lineRule="auto"/>
        <w:rPr>
          <w:rFonts w:cs="Times New Roman"/>
          <w:color w:val="000000"/>
          <w:szCs w:val="24"/>
        </w:rPr>
      </w:pPr>
      <w:r w:rsidRPr="00B34155">
        <w:rPr>
          <w:rFonts w:cs="Times New Roman"/>
          <w:color w:val="000000"/>
          <w:szCs w:val="24"/>
        </w:rPr>
        <w:t xml:space="preserve">List </w:t>
      </w:r>
      <w:r w:rsidR="004740AD" w:rsidRPr="00B34155">
        <w:rPr>
          <w:rFonts w:cs="Times New Roman"/>
          <w:color w:val="000000"/>
          <w:szCs w:val="24"/>
        </w:rPr>
        <w:t>“</w:t>
      </w:r>
      <w:r w:rsidRPr="00B34155">
        <w:rPr>
          <w:rFonts w:cs="Times New Roman"/>
          <w:color w:val="000000"/>
          <w:szCs w:val="24"/>
        </w:rPr>
        <w:t>Bleeding from multiple sites</w:t>
      </w:r>
      <w:r w:rsidR="0053099C" w:rsidRPr="00B34155">
        <w:rPr>
          <w:rFonts w:cs="Times New Roman"/>
          <w:color w:val="000000"/>
          <w:szCs w:val="24"/>
        </w:rPr>
        <w:t>”</w:t>
      </w:r>
      <w:r w:rsidR="003347D9" w:rsidRPr="00B34155">
        <w:rPr>
          <w:rFonts w:cs="Times New Roman"/>
          <w:color w:val="000000"/>
          <w:szCs w:val="24"/>
        </w:rPr>
        <w:t xml:space="preserve"> first.</w:t>
      </w:r>
    </w:p>
    <w:p w14:paraId="711A95AC" w14:textId="77777777" w:rsidR="00844CA8" w:rsidRPr="00B34155" w:rsidRDefault="0053099C" w:rsidP="00A33130">
      <w:pPr>
        <w:pStyle w:val="ListParagraph"/>
        <w:numPr>
          <w:ilvl w:val="2"/>
          <w:numId w:val="1"/>
        </w:numPr>
        <w:spacing w:line="276" w:lineRule="auto"/>
        <w:rPr>
          <w:rFonts w:cs="Times New Roman"/>
          <w:color w:val="000000"/>
          <w:szCs w:val="24"/>
        </w:rPr>
      </w:pPr>
      <w:r w:rsidRPr="00B34155">
        <w:rPr>
          <w:rFonts w:cs="Times New Roman"/>
          <w:color w:val="000000"/>
          <w:szCs w:val="24"/>
        </w:rPr>
        <w:t>“</w:t>
      </w:r>
      <w:r w:rsidR="00856519">
        <w:rPr>
          <w:rFonts w:cs="Times New Roman"/>
          <w:color w:val="000000"/>
          <w:szCs w:val="24"/>
        </w:rPr>
        <w:t>v</w:t>
      </w:r>
      <w:r w:rsidR="000B74E1" w:rsidRPr="00B34155">
        <w:rPr>
          <w:rFonts w:cs="Times New Roman"/>
          <w:color w:val="000000"/>
          <w:szCs w:val="24"/>
        </w:rPr>
        <w:t>aginal bleeding</w:t>
      </w:r>
      <w:r w:rsidR="00E7269B" w:rsidRPr="00B34155">
        <w:rPr>
          <w:rFonts w:cs="Times New Roman"/>
          <w:color w:val="000000"/>
          <w:szCs w:val="24"/>
        </w:rPr>
        <w:t>”</w:t>
      </w:r>
      <w:r w:rsidR="000B74E1" w:rsidRPr="00B34155">
        <w:rPr>
          <w:rFonts w:cs="Times New Roman"/>
          <w:color w:val="000000"/>
          <w:szCs w:val="24"/>
        </w:rPr>
        <w:t xml:space="preserve">, </w:t>
      </w:r>
      <w:r w:rsidR="00F22552" w:rsidRPr="00B34155">
        <w:rPr>
          <w:rFonts w:cs="Times New Roman"/>
          <w:color w:val="000000"/>
          <w:szCs w:val="24"/>
        </w:rPr>
        <w:t>“</w:t>
      </w:r>
      <w:r w:rsidR="000B74E1" w:rsidRPr="00B34155">
        <w:rPr>
          <w:rFonts w:cs="Times New Roman"/>
          <w:color w:val="000000"/>
          <w:szCs w:val="24"/>
        </w:rPr>
        <w:t>nose bleed</w:t>
      </w:r>
      <w:r w:rsidR="00F22552" w:rsidRPr="00B34155">
        <w:rPr>
          <w:rFonts w:cs="Times New Roman"/>
          <w:color w:val="000000"/>
          <w:szCs w:val="24"/>
        </w:rPr>
        <w:t>”</w:t>
      </w:r>
      <w:r w:rsidR="000B74E1" w:rsidRPr="00B34155">
        <w:rPr>
          <w:rFonts w:cs="Times New Roman"/>
          <w:color w:val="000000"/>
          <w:szCs w:val="24"/>
        </w:rPr>
        <w:t xml:space="preserve">, </w:t>
      </w:r>
      <w:r w:rsidR="00F22552" w:rsidRPr="00B34155">
        <w:rPr>
          <w:rFonts w:cs="Times New Roman"/>
          <w:color w:val="000000"/>
          <w:szCs w:val="24"/>
        </w:rPr>
        <w:t>“</w:t>
      </w:r>
      <w:r w:rsidR="000B74E1" w:rsidRPr="00B34155">
        <w:rPr>
          <w:rFonts w:cs="Times New Roman"/>
          <w:color w:val="000000"/>
          <w:szCs w:val="24"/>
        </w:rPr>
        <w:t>bleeding in the brain</w:t>
      </w:r>
      <w:r w:rsidR="006735B2" w:rsidRPr="00B34155">
        <w:rPr>
          <w:rFonts w:cs="Times New Roman"/>
          <w:color w:val="000000"/>
          <w:szCs w:val="24"/>
        </w:rPr>
        <w:t>”</w:t>
      </w:r>
      <w:r w:rsidR="00F22552" w:rsidRPr="00B34155">
        <w:rPr>
          <w:rFonts w:cs="Times New Roman"/>
          <w:color w:val="000000"/>
          <w:szCs w:val="24"/>
        </w:rPr>
        <w:t>,</w:t>
      </w:r>
      <w:r w:rsidR="000B74E1" w:rsidRPr="00B34155">
        <w:rPr>
          <w:rFonts w:cs="Times New Roman"/>
          <w:color w:val="000000"/>
          <w:szCs w:val="24"/>
        </w:rPr>
        <w:t xml:space="preserve"> and </w:t>
      </w:r>
      <w:r w:rsidR="00F22552" w:rsidRPr="00B34155">
        <w:rPr>
          <w:rFonts w:cs="Times New Roman"/>
          <w:color w:val="000000"/>
          <w:szCs w:val="24"/>
        </w:rPr>
        <w:t>“</w:t>
      </w:r>
      <w:r w:rsidR="002F70C3" w:rsidRPr="00B34155">
        <w:rPr>
          <w:rFonts w:cs="Times New Roman"/>
          <w:color w:val="000000"/>
          <w:szCs w:val="24"/>
        </w:rPr>
        <w:t>bleeding in testi</w:t>
      </w:r>
      <w:r w:rsidR="000B74E1" w:rsidRPr="00B34155">
        <w:rPr>
          <w:rFonts w:cs="Times New Roman"/>
          <w:color w:val="000000"/>
          <w:szCs w:val="24"/>
        </w:rPr>
        <w:t>s should be listed individually after “Bleeding from multiple sites”.</w:t>
      </w:r>
    </w:p>
    <w:p w14:paraId="23ECDB67" w14:textId="77777777" w:rsidR="00F22552" w:rsidRPr="00B34155" w:rsidRDefault="00235B02" w:rsidP="00A33130">
      <w:pPr>
        <w:pStyle w:val="ListParagraph"/>
        <w:numPr>
          <w:ilvl w:val="3"/>
          <w:numId w:val="1"/>
        </w:numPr>
        <w:spacing w:line="276" w:lineRule="auto"/>
        <w:rPr>
          <w:rFonts w:cs="Times New Roman"/>
          <w:color w:val="000000"/>
          <w:szCs w:val="24"/>
        </w:rPr>
      </w:pPr>
      <w:r w:rsidRPr="00B34155">
        <w:rPr>
          <w:rFonts w:cs="Times New Roman"/>
          <w:color w:val="000000"/>
          <w:szCs w:val="24"/>
        </w:rPr>
        <w:t>Example: “</w:t>
      </w:r>
      <w:r w:rsidR="00F22552" w:rsidRPr="00B34155">
        <w:rPr>
          <w:rFonts w:cs="Times New Roman"/>
          <w:color w:val="000000"/>
          <w:szCs w:val="24"/>
        </w:rPr>
        <w:t xml:space="preserve">Bleeding from multiple sites including </w:t>
      </w:r>
      <w:r w:rsidR="002F70C3" w:rsidRPr="00B34155">
        <w:rPr>
          <w:rFonts w:cs="Times New Roman"/>
          <w:color w:val="000000"/>
          <w:szCs w:val="24"/>
        </w:rPr>
        <w:t>the vagina, testis, or brain</w:t>
      </w:r>
      <w:r w:rsidR="00F22552" w:rsidRPr="00B34155">
        <w:rPr>
          <w:rFonts w:cs="Times New Roman"/>
          <w:color w:val="000000"/>
          <w:szCs w:val="24"/>
        </w:rPr>
        <w:t>”</w:t>
      </w:r>
    </w:p>
    <w:p w14:paraId="50A9B1E5" w14:textId="77777777" w:rsidR="002D4E2E" w:rsidRPr="00B34155" w:rsidRDefault="000B74E1" w:rsidP="00A33130">
      <w:pPr>
        <w:pStyle w:val="ListParagraph"/>
        <w:numPr>
          <w:ilvl w:val="2"/>
          <w:numId w:val="1"/>
        </w:numPr>
        <w:spacing w:line="276" w:lineRule="auto"/>
        <w:rPr>
          <w:rFonts w:cs="Times New Roman"/>
          <w:color w:val="000000"/>
          <w:szCs w:val="24"/>
        </w:rPr>
      </w:pPr>
      <w:r w:rsidRPr="00B34155">
        <w:rPr>
          <w:rFonts w:cs="Times New Roman"/>
          <w:color w:val="000000"/>
          <w:szCs w:val="24"/>
        </w:rPr>
        <w:t xml:space="preserve">List all associated </w:t>
      </w:r>
      <w:r w:rsidR="005F3203" w:rsidRPr="00B34155">
        <w:rPr>
          <w:rFonts w:cs="Times New Roman"/>
          <w:color w:val="000000"/>
          <w:szCs w:val="24"/>
        </w:rPr>
        <w:t>S</w:t>
      </w:r>
      <w:r w:rsidRPr="00B34155">
        <w:rPr>
          <w:rFonts w:cs="Times New Roman"/>
          <w:color w:val="000000"/>
          <w:szCs w:val="24"/>
        </w:rPr>
        <w:t>ymptoms at the end</w:t>
      </w:r>
      <w:r w:rsidR="002D4E2E" w:rsidRPr="00B34155">
        <w:rPr>
          <w:rFonts w:cs="Times New Roman"/>
          <w:color w:val="000000"/>
          <w:szCs w:val="24"/>
        </w:rPr>
        <w:t>.</w:t>
      </w:r>
    </w:p>
    <w:p w14:paraId="191A6FDE" w14:textId="77777777" w:rsidR="000B74E1" w:rsidRPr="00B34155" w:rsidRDefault="002D4E2E" w:rsidP="00271D9F">
      <w:pPr>
        <w:pStyle w:val="ListParagraph"/>
        <w:numPr>
          <w:ilvl w:val="3"/>
          <w:numId w:val="1"/>
        </w:numPr>
        <w:spacing w:after="240" w:line="276" w:lineRule="auto"/>
        <w:rPr>
          <w:rFonts w:cs="Times New Roman"/>
          <w:color w:val="000000"/>
          <w:szCs w:val="24"/>
        </w:rPr>
      </w:pPr>
      <w:r w:rsidRPr="00B34155">
        <w:rPr>
          <w:rFonts w:cs="Times New Roman"/>
          <w:color w:val="000000"/>
          <w:szCs w:val="24"/>
        </w:rPr>
        <w:t xml:space="preserve">Example: </w:t>
      </w:r>
      <w:r w:rsidR="0053099C" w:rsidRPr="00B34155">
        <w:rPr>
          <w:rFonts w:cs="Times New Roman"/>
          <w:color w:val="000000"/>
          <w:szCs w:val="24"/>
        </w:rPr>
        <w:t>“</w:t>
      </w:r>
      <w:r w:rsidR="000B74E1" w:rsidRPr="00B34155">
        <w:rPr>
          <w:rFonts w:cs="Times New Roman"/>
          <w:color w:val="000000"/>
          <w:szCs w:val="24"/>
        </w:rPr>
        <w:t>Bleeding from multiple sites including the brain which may cause headaches or confusion</w:t>
      </w:r>
      <w:r w:rsidR="0053099C" w:rsidRPr="00B34155">
        <w:rPr>
          <w:rFonts w:cs="Times New Roman"/>
          <w:color w:val="000000"/>
          <w:szCs w:val="24"/>
        </w:rPr>
        <w:t>”</w:t>
      </w:r>
    </w:p>
    <w:p w14:paraId="26424AAD" w14:textId="77777777" w:rsidR="008107CB" w:rsidRPr="00B34155" w:rsidRDefault="008107CB" w:rsidP="00A33130">
      <w:pPr>
        <w:pStyle w:val="ListParagraph"/>
        <w:numPr>
          <w:ilvl w:val="0"/>
          <w:numId w:val="1"/>
        </w:numPr>
        <w:spacing w:line="276" w:lineRule="auto"/>
        <w:rPr>
          <w:rFonts w:cs="Times New Roman"/>
          <w:color w:val="000000"/>
          <w:szCs w:val="24"/>
        </w:rPr>
      </w:pPr>
      <w:r w:rsidRPr="00271D9F">
        <w:rPr>
          <w:rFonts w:cs="Times New Roman"/>
          <w:color w:val="000000"/>
          <w:szCs w:val="24"/>
        </w:rPr>
        <w:t xml:space="preserve">The </w:t>
      </w:r>
      <w:r w:rsidRPr="00271D9F">
        <w:rPr>
          <w:rFonts w:cs="Times New Roman"/>
          <w:i/>
          <w:iCs/>
          <w:color w:val="000000"/>
          <w:szCs w:val="24"/>
        </w:rPr>
        <w:t xml:space="preserve">NCI Risk Term Library </w:t>
      </w:r>
      <w:r w:rsidRPr="00271D9F">
        <w:rPr>
          <w:rFonts w:cs="Times New Roman"/>
          <w:color w:val="000000"/>
          <w:szCs w:val="24"/>
        </w:rPr>
        <w:t xml:space="preserve">provides guidance on </w:t>
      </w:r>
      <w:r w:rsidR="0019382A">
        <w:rPr>
          <w:szCs w:val="24"/>
        </w:rPr>
        <w:t>informed consent</w:t>
      </w:r>
      <w:r w:rsidRPr="00271D9F">
        <w:rPr>
          <w:rFonts w:cs="Times New Roman"/>
          <w:color w:val="000000"/>
          <w:szCs w:val="24"/>
        </w:rPr>
        <w:t xml:space="preserve"> terms that commonly occur together in a common body organ or system which can be listed on the same line.</w:t>
      </w:r>
    </w:p>
    <w:p w14:paraId="58379D12" w14:textId="77777777" w:rsidR="004F51C0" w:rsidRDefault="008107CB" w:rsidP="004F51C0">
      <w:pPr>
        <w:pStyle w:val="ListParagraph"/>
        <w:numPr>
          <w:ilvl w:val="1"/>
          <w:numId w:val="1"/>
        </w:numPr>
        <w:spacing w:line="276" w:lineRule="auto"/>
        <w:rPr>
          <w:rFonts w:cs="Times New Roman"/>
          <w:color w:val="000000"/>
          <w:szCs w:val="24"/>
        </w:rPr>
      </w:pPr>
      <w:r>
        <w:rPr>
          <w:rFonts w:cs="Times New Roman"/>
          <w:color w:val="000000"/>
          <w:szCs w:val="24"/>
        </w:rPr>
        <w:t xml:space="preserve">Example: If the </w:t>
      </w:r>
      <w:r w:rsidR="0019382A">
        <w:rPr>
          <w:szCs w:val="24"/>
        </w:rPr>
        <w:t>informed consent</w:t>
      </w:r>
      <w:r>
        <w:rPr>
          <w:rFonts w:cs="Times New Roman"/>
          <w:color w:val="000000"/>
          <w:szCs w:val="24"/>
        </w:rPr>
        <w:t xml:space="preserve"> terms</w:t>
      </w:r>
      <w:r w:rsidRPr="00B34155">
        <w:rPr>
          <w:rFonts w:cs="Times New Roman"/>
          <w:color w:val="000000"/>
          <w:szCs w:val="24"/>
        </w:rPr>
        <w:t xml:space="preserve"> </w:t>
      </w:r>
      <w:r w:rsidR="00AB0ACC" w:rsidRPr="00B34155">
        <w:rPr>
          <w:rFonts w:cs="Times New Roman"/>
          <w:color w:val="000000"/>
          <w:szCs w:val="24"/>
        </w:rPr>
        <w:t>“</w:t>
      </w:r>
      <w:r w:rsidR="000E4130" w:rsidRPr="00B34155">
        <w:rPr>
          <w:rFonts w:cs="Times New Roman"/>
          <w:color w:val="000000"/>
          <w:szCs w:val="24"/>
        </w:rPr>
        <w:t>heart failure</w:t>
      </w:r>
      <w:r w:rsidR="00AB0ACC" w:rsidRPr="00B34155">
        <w:rPr>
          <w:rFonts w:cs="Times New Roman"/>
          <w:color w:val="000000"/>
          <w:szCs w:val="24"/>
        </w:rPr>
        <w:t>”</w:t>
      </w:r>
      <w:r w:rsidR="000E4130" w:rsidRPr="00B34155">
        <w:rPr>
          <w:rFonts w:cs="Times New Roman"/>
          <w:color w:val="000000"/>
          <w:szCs w:val="24"/>
        </w:rPr>
        <w:t xml:space="preserve">, </w:t>
      </w:r>
      <w:r w:rsidR="00AB0ACC" w:rsidRPr="00B34155">
        <w:rPr>
          <w:rFonts w:cs="Times New Roman"/>
          <w:color w:val="000000"/>
          <w:szCs w:val="24"/>
        </w:rPr>
        <w:t>“</w:t>
      </w:r>
      <w:r w:rsidR="000E4130" w:rsidRPr="00B34155">
        <w:rPr>
          <w:rFonts w:cs="Times New Roman"/>
          <w:color w:val="000000"/>
          <w:szCs w:val="24"/>
        </w:rPr>
        <w:t>heart stops beating</w:t>
      </w:r>
      <w:r w:rsidR="00AB0ACC" w:rsidRPr="00B34155">
        <w:rPr>
          <w:rFonts w:cs="Times New Roman"/>
          <w:color w:val="000000"/>
          <w:szCs w:val="24"/>
        </w:rPr>
        <w:t>”,</w:t>
      </w:r>
      <w:r w:rsidR="000E4130" w:rsidRPr="00B34155">
        <w:rPr>
          <w:rFonts w:cs="Times New Roman"/>
          <w:color w:val="000000"/>
          <w:szCs w:val="24"/>
        </w:rPr>
        <w:t xml:space="preserve"> and </w:t>
      </w:r>
      <w:r w:rsidR="00AB0ACC" w:rsidRPr="00B34155">
        <w:rPr>
          <w:rFonts w:cs="Times New Roman"/>
          <w:color w:val="000000"/>
          <w:szCs w:val="24"/>
        </w:rPr>
        <w:t>“</w:t>
      </w:r>
      <w:r w:rsidR="000E4130" w:rsidRPr="00B34155">
        <w:rPr>
          <w:rFonts w:cs="Times New Roman"/>
          <w:color w:val="000000"/>
          <w:szCs w:val="24"/>
        </w:rPr>
        <w:t>heart attack</w:t>
      </w:r>
      <w:r w:rsidR="00AB0ACC" w:rsidRPr="00B34155">
        <w:rPr>
          <w:rFonts w:cs="Times New Roman"/>
          <w:color w:val="000000"/>
          <w:szCs w:val="24"/>
        </w:rPr>
        <w:t>”</w:t>
      </w:r>
      <w:r w:rsidR="000E4130" w:rsidRPr="00B34155">
        <w:rPr>
          <w:rFonts w:cs="Times New Roman"/>
          <w:color w:val="000000"/>
          <w:szCs w:val="24"/>
        </w:rPr>
        <w:t xml:space="preserve"> </w:t>
      </w:r>
      <w:r>
        <w:rPr>
          <w:rFonts w:cs="Times New Roman"/>
          <w:color w:val="000000"/>
          <w:szCs w:val="24"/>
        </w:rPr>
        <w:t>occur within</w:t>
      </w:r>
      <w:r w:rsidR="000E4130" w:rsidRPr="00B34155">
        <w:rPr>
          <w:rFonts w:cs="Times New Roman"/>
          <w:color w:val="000000"/>
          <w:szCs w:val="24"/>
        </w:rPr>
        <w:t xml:space="preserve"> the same </w:t>
      </w:r>
      <w:r w:rsidR="00AB0ACC" w:rsidRPr="00B34155">
        <w:rPr>
          <w:rFonts w:cs="Times New Roman"/>
          <w:color w:val="000000"/>
          <w:szCs w:val="24"/>
        </w:rPr>
        <w:t>frequency category</w:t>
      </w:r>
      <w:r w:rsidR="00314F9D" w:rsidRPr="00B34155">
        <w:rPr>
          <w:rFonts w:cs="Times New Roman"/>
          <w:color w:val="000000"/>
          <w:szCs w:val="24"/>
        </w:rPr>
        <w:t>, l</w:t>
      </w:r>
      <w:r w:rsidR="002D4E2E" w:rsidRPr="00B34155">
        <w:rPr>
          <w:rFonts w:cs="Times New Roman"/>
          <w:color w:val="000000"/>
          <w:szCs w:val="24"/>
        </w:rPr>
        <w:t xml:space="preserve">ist </w:t>
      </w:r>
      <w:r w:rsidR="00AB0ACC" w:rsidRPr="00B34155">
        <w:rPr>
          <w:rFonts w:cs="Times New Roman"/>
          <w:color w:val="000000"/>
          <w:szCs w:val="24"/>
        </w:rPr>
        <w:t xml:space="preserve">them </w:t>
      </w:r>
      <w:r w:rsidR="002D4E2E" w:rsidRPr="00B34155">
        <w:rPr>
          <w:rFonts w:cs="Times New Roman"/>
          <w:color w:val="000000"/>
          <w:szCs w:val="24"/>
        </w:rPr>
        <w:t xml:space="preserve">on the same line, </w:t>
      </w:r>
      <w:r w:rsidR="00AB0ACC" w:rsidRPr="00B34155">
        <w:rPr>
          <w:rFonts w:cs="Times New Roman"/>
          <w:color w:val="000000"/>
          <w:szCs w:val="24"/>
        </w:rPr>
        <w:t>follow</w:t>
      </w:r>
      <w:r w:rsidR="0078301F" w:rsidRPr="00B34155">
        <w:rPr>
          <w:rFonts w:cs="Times New Roman"/>
          <w:color w:val="000000"/>
          <w:szCs w:val="24"/>
        </w:rPr>
        <w:t>ed</w:t>
      </w:r>
      <w:r w:rsidR="00AB0ACC" w:rsidRPr="00B34155">
        <w:rPr>
          <w:rFonts w:cs="Times New Roman"/>
          <w:color w:val="000000"/>
          <w:szCs w:val="24"/>
        </w:rPr>
        <w:t xml:space="preserve"> by relevant </w:t>
      </w:r>
      <w:r>
        <w:rPr>
          <w:rFonts w:cs="Times New Roman"/>
          <w:color w:val="000000"/>
          <w:szCs w:val="24"/>
        </w:rPr>
        <w:t>s</w:t>
      </w:r>
      <w:r w:rsidR="000E4130" w:rsidRPr="00B34155">
        <w:rPr>
          <w:rFonts w:cs="Times New Roman"/>
          <w:color w:val="000000"/>
          <w:szCs w:val="24"/>
        </w:rPr>
        <w:t>ymptoms</w:t>
      </w:r>
      <w:r w:rsidR="00F969D9" w:rsidRPr="00B34155">
        <w:rPr>
          <w:rFonts w:cs="Times New Roman"/>
          <w:color w:val="000000"/>
          <w:szCs w:val="24"/>
        </w:rPr>
        <w:t>.</w:t>
      </w:r>
      <w:r w:rsidR="004F51C0" w:rsidRPr="004F51C0">
        <w:rPr>
          <w:rFonts w:cs="Times New Roman"/>
          <w:color w:val="000000"/>
          <w:szCs w:val="24"/>
        </w:rPr>
        <w:t xml:space="preserve"> </w:t>
      </w:r>
    </w:p>
    <w:p w14:paraId="6891ADA7" w14:textId="77777777" w:rsidR="004F51C0" w:rsidRPr="00B34155" w:rsidRDefault="004F51C0" w:rsidP="004F51C0">
      <w:pPr>
        <w:pStyle w:val="ListParagraph"/>
        <w:numPr>
          <w:ilvl w:val="1"/>
          <w:numId w:val="1"/>
        </w:numPr>
        <w:spacing w:line="276" w:lineRule="auto"/>
        <w:rPr>
          <w:rFonts w:cs="Times New Roman"/>
          <w:color w:val="000000"/>
          <w:szCs w:val="24"/>
        </w:rPr>
      </w:pPr>
      <w:r>
        <w:rPr>
          <w:rFonts w:cs="Times New Roman"/>
          <w:color w:val="000000"/>
          <w:szCs w:val="24"/>
        </w:rPr>
        <w:t xml:space="preserve">Example: If the </w:t>
      </w:r>
      <w:r>
        <w:rPr>
          <w:szCs w:val="24"/>
        </w:rPr>
        <w:t>informed consent</w:t>
      </w:r>
      <w:r>
        <w:rPr>
          <w:rFonts w:cs="Times New Roman"/>
          <w:color w:val="000000"/>
          <w:szCs w:val="24"/>
        </w:rPr>
        <w:t xml:space="preserve"> terms, “nausea”, “vomiting”, and diarrhea” are translated from one or more scientific adverse events, they should be listed on the same line as, “Nausea, vomiting, diarrhea”.</w:t>
      </w:r>
    </w:p>
    <w:p w14:paraId="37BFD202" w14:textId="77777777" w:rsidR="004F51C0" w:rsidRDefault="004F51C0" w:rsidP="004F51C0">
      <w:pPr>
        <w:numPr>
          <w:ilvl w:val="1"/>
          <w:numId w:val="1"/>
        </w:numPr>
        <w:rPr>
          <w:color w:val="000000"/>
          <w:szCs w:val="24"/>
        </w:rPr>
      </w:pPr>
      <w:r w:rsidRPr="00B34155">
        <w:rPr>
          <w:color w:val="000000"/>
          <w:szCs w:val="24"/>
        </w:rPr>
        <w:t>Example: “Abnormal menstrual period” and “abnormal sexual function” can be combined to say</w:t>
      </w:r>
      <w:r w:rsidRPr="00EE250C">
        <w:rPr>
          <w:color w:val="000000"/>
          <w:szCs w:val="24"/>
        </w:rPr>
        <w:t>: “abnormal menstrual</w:t>
      </w:r>
      <w:r w:rsidRPr="00B34155">
        <w:rPr>
          <w:color w:val="000000"/>
          <w:szCs w:val="24"/>
        </w:rPr>
        <w:t xml:space="preserve"> period, sexual function”.</w:t>
      </w:r>
    </w:p>
    <w:p w14:paraId="54E8779C" w14:textId="77777777" w:rsidR="004F51C0" w:rsidRPr="00B34155" w:rsidRDefault="004F51C0" w:rsidP="004F51C0">
      <w:pPr>
        <w:numPr>
          <w:ilvl w:val="0"/>
          <w:numId w:val="1"/>
        </w:numPr>
        <w:spacing w:after="0"/>
        <w:rPr>
          <w:color w:val="000000"/>
          <w:szCs w:val="24"/>
        </w:rPr>
      </w:pPr>
      <w:r>
        <w:rPr>
          <w:color w:val="000000"/>
          <w:szCs w:val="24"/>
        </w:rPr>
        <w:t xml:space="preserve">The </w:t>
      </w:r>
      <w:r w:rsidRPr="00271D9F">
        <w:rPr>
          <w:i/>
          <w:iCs/>
          <w:color w:val="000000"/>
          <w:szCs w:val="24"/>
        </w:rPr>
        <w:t>NCI Risk Term Library</w:t>
      </w:r>
      <w:r>
        <w:rPr>
          <w:i/>
          <w:iCs/>
          <w:color w:val="000000"/>
          <w:szCs w:val="24"/>
        </w:rPr>
        <w:t xml:space="preserve"> </w:t>
      </w:r>
      <w:r>
        <w:rPr>
          <w:color w:val="000000"/>
          <w:szCs w:val="24"/>
        </w:rPr>
        <w:t xml:space="preserve">provides guidance on symptoms associated with similar </w:t>
      </w:r>
      <w:r>
        <w:rPr>
          <w:szCs w:val="24"/>
        </w:rPr>
        <w:t>informed consent</w:t>
      </w:r>
      <w:r>
        <w:rPr>
          <w:color w:val="000000"/>
          <w:szCs w:val="24"/>
        </w:rPr>
        <w:t xml:space="preserve"> terms that are translated from different scientific adverse events that may be combined on one line.</w:t>
      </w:r>
    </w:p>
    <w:p w14:paraId="75417030" w14:textId="77777777" w:rsidR="004F51C0" w:rsidRPr="00B34155" w:rsidRDefault="004F51C0" w:rsidP="004F51C0">
      <w:pPr>
        <w:numPr>
          <w:ilvl w:val="1"/>
          <w:numId w:val="1"/>
        </w:numPr>
        <w:spacing w:after="0"/>
        <w:rPr>
          <w:color w:val="000000"/>
          <w:szCs w:val="24"/>
        </w:rPr>
      </w:pPr>
      <w:r w:rsidRPr="00B34155">
        <w:rPr>
          <w:color w:val="000000"/>
          <w:szCs w:val="24"/>
        </w:rPr>
        <w:t xml:space="preserve">Example: “Blood clots which may cause bleeding” and “blood clots which may cause belly pain” can be combined </w:t>
      </w:r>
      <w:r>
        <w:rPr>
          <w:color w:val="000000"/>
          <w:szCs w:val="24"/>
        </w:rPr>
        <w:t>as</w:t>
      </w:r>
      <w:r w:rsidRPr="00B34155">
        <w:rPr>
          <w:color w:val="000000"/>
          <w:szCs w:val="24"/>
        </w:rPr>
        <w:t xml:space="preserve"> “blood clots which may cause bleeding or belly pain”.</w:t>
      </w:r>
    </w:p>
    <w:p w14:paraId="6A79DD71" w14:textId="77777777" w:rsidR="004F51C0" w:rsidRPr="00B34155" w:rsidRDefault="004F51C0" w:rsidP="004F51C0">
      <w:pPr>
        <w:numPr>
          <w:ilvl w:val="1"/>
          <w:numId w:val="1"/>
        </w:numPr>
        <w:rPr>
          <w:color w:val="000000"/>
          <w:szCs w:val="24"/>
        </w:rPr>
      </w:pPr>
      <w:r w:rsidRPr="00B34155">
        <w:rPr>
          <w:color w:val="000000"/>
          <w:szCs w:val="24"/>
        </w:rPr>
        <w:t xml:space="preserve">Example: “Blurred vision” and “blurred vision which may cause blindness” can be combined </w:t>
      </w:r>
      <w:r>
        <w:rPr>
          <w:color w:val="000000"/>
          <w:szCs w:val="24"/>
        </w:rPr>
        <w:t>as “</w:t>
      </w:r>
      <w:r w:rsidRPr="00B34155">
        <w:rPr>
          <w:color w:val="000000"/>
          <w:szCs w:val="24"/>
        </w:rPr>
        <w:t>blurred vision which may cause blindness”.</w:t>
      </w:r>
    </w:p>
    <w:p w14:paraId="60312991" w14:textId="77777777" w:rsidR="004F51C0" w:rsidRPr="00B34155" w:rsidRDefault="004F51C0" w:rsidP="004F51C0">
      <w:pPr>
        <w:pStyle w:val="ListParagraph"/>
        <w:numPr>
          <w:ilvl w:val="0"/>
          <w:numId w:val="1"/>
        </w:numPr>
        <w:spacing w:after="240" w:line="276" w:lineRule="auto"/>
        <w:rPr>
          <w:rFonts w:cs="Times New Roman"/>
          <w:color w:val="000000"/>
          <w:szCs w:val="24"/>
        </w:rPr>
      </w:pPr>
      <w:r w:rsidRPr="00B34155">
        <w:rPr>
          <w:rFonts w:cs="Times New Roman"/>
          <w:color w:val="000000"/>
          <w:szCs w:val="24"/>
        </w:rPr>
        <w:t>If the phrase “in children” or “in children or adolescents” is at the beginning of a</w:t>
      </w:r>
      <w:r>
        <w:rPr>
          <w:rFonts w:cs="Times New Roman"/>
          <w:color w:val="000000"/>
          <w:szCs w:val="24"/>
        </w:rPr>
        <w:t xml:space="preserve"> term included in the risk list, </w:t>
      </w:r>
      <w:r w:rsidRPr="00B34155">
        <w:rPr>
          <w:rFonts w:cs="Times New Roman"/>
          <w:color w:val="000000"/>
          <w:szCs w:val="24"/>
        </w:rPr>
        <w:t>the term only needs to be included if the study includes children or adolescents.</w:t>
      </w:r>
    </w:p>
    <w:p w14:paraId="591480A2" w14:textId="77777777" w:rsidR="004F51C0" w:rsidRDefault="004F51C0" w:rsidP="009D2A89">
      <w:pPr>
        <w:pStyle w:val="ListParagraph"/>
        <w:spacing w:line="276" w:lineRule="auto"/>
        <w:ind w:left="1440"/>
        <w:rPr>
          <w:rFonts w:cs="Times New Roman"/>
          <w:color w:val="000000"/>
          <w:szCs w:val="24"/>
        </w:rPr>
      </w:pPr>
    </w:p>
    <w:p w14:paraId="0297A258" w14:textId="77777777" w:rsidR="004F51C0" w:rsidRDefault="004F51C0" w:rsidP="008107CB">
      <w:pPr>
        <w:pStyle w:val="ListParagraph"/>
        <w:numPr>
          <w:ilvl w:val="1"/>
          <w:numId w:val="1"/>
        </w:numPr>
        <w:spacing w:line="276" w:lineRule="auto"/>
        <w:rPr>
          <w:rFonts w:cs="Times New Roman"/>
          <w:color w:val="000000"/>
          <w:szCs w:val="24"/>
        </w:rPr>
        <w:sectPr w:rsidR="004F51C0" w:rsidSect="00A33130">
          <w:footerReference w:type="default" r:id="rId8"/>
          <w:pgSz w:w="12240" w:h="15840"/>
          <w:pgMar w:top="720" w:right="720" w:bottom="720" w:left="720" w:header="720" w:footer="720" w:gutter="0"/>
          <w:cols w:space="720"/>
          <w:docGrid w:linePitch="360"/>
        </w:sectPr>
      </w:pPr>
    </w:p>
    <w:p w14:paraId="0E3BB521" w14:textId="0499EBF1" w:rsidR="00706215" w:rsidRPr="00271D9F" w:rsidRDefault="0059014A" w:rsidP="0070220C">
      <w:pPr>
        <w:pStyle w:val="ListParagraph"/>
        <w:numPr>
          <w:ilvl w:val="0"/>
          <w:numId w:val="1"/>
        </w:numPr>
        <w:spacing w:line="271" w:lineRule="auto"/>
        <w:rPr>
          <w:rFonts w:cs="Times New Roman"/>
          <w:szCs w:val="24"/>
        </w:rPr>
      </w:pPr>
      <w:r>
        <w:rPr>
          <w:rFonts w:cs="Times New Roman"/>
          <w:color w:val="000000"/>
          <w:szCs w:val="24"/>
        </w:rPr>
        <w:lastRenderedPageBreak/>
        <w:t>After</w:t>
      </w:r>
      <w:r w:rsidR="0019382A" w:rsidRPr="0019382A">
        <w:rPr>
          <w:szCs w:val="24"/>
        </w:rPr>
        <w:t xml:space="preserve"> </w:t>
      </w:r>
      <w:r w:rsidR="00484EB2">
        <w:rPr>
          <w:szCs w:val="24"/>
        </w:rPr>
        <w:t xml:space="preserve">the </w:t>
      </w:r>
      <w:r w:rsidR="0019382A">
        <w:rPr>
          <w:szCs w:val="24"/>
        </w:rPr>
        <w:t>informed consent</w:t>
      </w:r>
      <w:r w:rsidR="006507C6">
        <w:rPr>
          <w:rFonts w:cs="Times New Roman"/>
          <w:color w:val="000000"/>
          <w:szCs w:val="24"/>
        </w:rPr>
        <w:t xml:space="preserve"> terms</w:t>
      </w:r>
      <w:r>
        <w:rPr>
          <w:rFonts w:cs="Times New Roman"/>
          <w:color w:val="000000"/>
          <w:szCs w:val="24"/>
        </w:rPr>
        <w:t xml:space="preserve"> listed in the </w:t>
      </w:r>
      <w:r w:rsidR="000354EB">
        <w:rPr>
          <w:rFonts w:cs="Times New Roman"/>
          <w:color w:val="000000"/>
          <w:szCs w:val="24"/>
        </w:rPr>
        <w:t xml:space="preserve">risk </w:t>
      </w:r>
      <w:r w:rsidR="00AF4E7A">
        <w:rPr>
          <w:rFonts w:cs="Times New Roman"/>
          <w:color w:val="000000"/>
          <w:szCs w:val="24"/>
        </w:rPr>
        <w:t>list</w:t>
      </w:r>
      <w:r w:rsidR="000354EB">
        <w:rPr>
          <w:rFonts w:cs="Times New Roman"/>
          <w:color w:val="000000"/>
          <w:szCs w:val="24"/>
        </w:rPr>
        <w:t>s</w:t>
      </w:r>
      <w:r w:rsidR="006507C6">
        <w:rPr>
          <w:rFonts w:cs="Times New Roman"/>
          <w:color w:val="000000"/>
          <w:szCs w:val="24"/>
        </w:rPr>
        <w:t xml:space="preserve"> are </w:t>
      </w:r>
      <w:r>
        <w:rPr>
          <w:rFonts w:cs="Times New Roman"/>
          <w:color w:val="000000"/>
          <w:szCs w:val="24"/>
        </w:rPr>
        <w:t xml:space="preserve">sorted into the three tables by frequency of occurrence (i.e., Common, Occasional, Rare), the terms are </w:t>
      </w:r>
      <w:r w:rsidR="00484EB2">
        <w:rPr>
          <w:rFonts w:cs="Times New Roman"/>
          <w:color w:val="000000"/>
          <w:szCs w:val="24"/>
        </w:rPr>
        <w:t>then</w:t>
      </w:r>
      <w:r w:rsidR="00EC3C12">
        <w:rPr>
          <w:rFonts w:cs="Times New Roman"/>
          <w:color w:val="000000"/>
          <w:szCs w:val="24"/>
        </w:rPr>
        <w:t xml:space="preserve"> evaluated</w:t>
      </w:r>
      <w:r w:rsidR="00FA1F5F">
        <w:rPr>
          <w:rFonts w:cs="Times New Roman"/>
          <w:color w:val="000000"/>
          <w:szCs w:val="24"/>
        </w:rPr>
        <w:t xml:space="preserve"> and curated</w:t>
      </w:r>
      <w:r w:rsidR="008D0BC1">
        <w:rPr>
          <w:rFonts w:cs="Times New Roman"/>
          <w:color w:val="000000"/>
          <w:szCs w:val="24"/>
        </w:rPr>
        <w:t>.</w:t>
      </w:r>
      <w:r w:rsidR="00EC3C12">
        <w:rPr>
          <w:rFonts w:cs="Times New Roman"/>
          <w:color w:val="000000"/>
          <w:szCs w:val="24"/>
        </w:rPr>
        <w:t xml:space="preserve"> </w:t>
      </w:r>
      <w:r w:rsidR="008D0BC1">
        <w:rPr>
          <w:rFonts w:cs="Times New Roman"/>
          <w:color w:val="000000"/>
          <w:szCs w:val="24"/>
        </w:rPr>
        <w:t>On a case-by-case basis, depending on the agent, symptom(s), adverse effect(s), and</w:t>
      </w:r>
      <w:r w:rsidR="00F50573">
        <w:rPr>
          <w:rFonts w:cs="Times New Roman"/>
          <w:color w:val="000000"/>
          <w:szCs w:val="24"/>
        </w:rPr>
        <w:t>/</w:t>
      </w:r>
      <w:r w:rsidR="008D0BC1">
        <w:rPr>
          <w:rFonts w:cs="Times New Roman"/>
          <w:color w:val="000000"/>
          <w:szCs w:val="24"/>
        </w:rPr>
        <w:t>or severity involved, adjustments or modifications may be made to listed term(s) and/or symptoms.</w:t>
      </w:r>
      <w:r w:rsidR="00484EB2">
        <w:rPr>
          <w:rFonts w:cs="Times New Roman"/>
          <w:color w:val="000000"/>
          <w:szCs w:val="24"/>
        </w:rPr>
        <w:t xml:space="preserve"> </w:t>
      </w:r>
      <w:r w:rsidR="008D0BC1">
        <w:rPr>
          <w:rFonts w:cs="Times New Roman"/>
          <w:color w:val="000000"/>
          <w:szCs w:val="24"/>
        </w:rPr>
        <w:t xml:space="preserve">Lastly, the remaining terms are </w:t>
      </w:r>
      <w:r>
        <w:rPr>
          <w:rFonts w:cs="Times New Roman"/>
          <w:color w:val="000000"/>
          <w:szCs w:val="24"/>
        </w:rPr>
        <w:t xml:space="preserve">ordered </w:t>
      </w:r>
      <w:r w:rsidR="00EC3C12">
        <w:rPr>
          <w:rFonts w:cs="Times New Roman"/>
          <w:color w:val="000000"/>
          <w:szCs w:val="24"/>
        </w:rPr>
        <w:t xml:space="preserve">by relative risks </w:t>
      </w:r>
      <w:r>
        <w:rPr>
          <w:rFonts w:cs="Times New Roman"/>
          <w:color w:val="000000"/>
          <w:szCs w:val="24"/>
        </w:rPr>
        <w:t>within each frequency table</w:t>
      </w:r>
      <w:r w:rsidR="00294C92">
        <w:rPr>
          <w:rFonts w:cs="Times New Roman"/>
          <w:color w:val="000000"/>
          <w:szCs w:val="24"/>
        </w:rPr>
        <w:t xml:space="preserve"> by severity and affected organ or body system,</w:t>
      </w:r>
      <w:r>
        <w:rPr>
          <w:rFonts w:cs="Times New Roman"/>
          <w:color w:val="000000"/>
          <w:szCs w:val="24"/>
        </w:rPr>
        <w:t xml:space="preserve"> </w:t>
      </w:r>
      <w:r w:rsidR="00EC3C12">
        <w:rPr>
          <w:rFonts w:cs="Times New Roman"/>
          <w:color w:val="000000"/>
          <w:szCs w:val="24"/>
        </w:rPr>
        <w:t xml:space="preserve">according to </w:t>
      </w:r>
      <w:r>
        <w:rPr>
          <w:rFonts w:cs="Times New Roman"/>
          <w:color w:val="000000"/>
          <w:szCs w:val="24"/>
        </w:rPr>
        <w:t xml:space="preserve">general </w:t>
      </w:r>
      <w:r w:rsidR="00484EB2">
        <w:rPr>
          <w:rFonts w:cs="Times New Roman"/>
          <w:color w:val="000000"/>
          <w:szCs w:val="24"/>
        </w:rPr>
        <w:t xml:space="preserve">guidelines </w:t>
      </w:r>
      <w:r w:rsidR="001E2E10">
        <w:rPr>
          <w:rFonts w:cs="Times New Roman"/>
          <w:color w:val="000000"/>
          <w:szCs w:val="24"/>
        </w:rPr>
        <w:t xml:space="preserve">developed by </w:t>
      </w:r>
      <w:r w:rsidR="00EC3C12">
        <w:rPr>
          <w:rFonts w:cs="Times New Roman"/>
          <w:color w:val="000000"/>
          <w:szCs w:val="24"/>
        </w:rPr>
        <w:t>NCI</w:t>
      </w:r>
      <w:r w:rsidR="00F05E40">
        <w:rPr>
          <w:rFonts w:cs="Times New Roman"/>
          <w:color w:val="000000"/>
          <w:szCs w:val="24"/>
        </w:rPr>
        <w:t>.</w:t>
      </w:r>
      <w:r w:rsidR="00321E19" w:rsidRPr="009D2A89">
        <w:rPr>
          <w:rFonts w:cs="Times New Roman"/>
          <w:color w:val="000000"/>
          <w:szCs w:val="24"/>
          <w:vertAlign w:val="superscript"/>
        </w:rPr>
        <w:t>†</w:t>
      </w:r>
    </w:p>
    <w:p w14:paraId="23A07E72" w14:textId="77777777" w:rsidR="00E30051" w:rsidRPr="00B34155" w:rsidRDefault="00E30051" w:rsidP="00271D9F">
      <w:pPr>
        <w:pStyle w:val="ListParagraph"/>
        <w:spacing w:line="271" w:lineRule="auto"/>
        <w:rPr>
          <w:rFonts w:cs="Times New Roman"/>
          <w:szCs w:val="24"/>
        </w:rPr>
      </w:pPr>
    </w:p>
    <w:p w14:paraId="5F1FA285" w14:textId="77777777" w:rsidR="00975166" w:rsidRPr="00B34155" w:rsidRDefault="00975166" w:rsidP="00975166">
      <w:pPr>
        <w:spacing w:after="0"/>
        <w:ind w:left="2880"/>
        <w:rPr>
          <w:color w:val="000000"/>
          <w:szCs w:val="24"/>
        </w:rPr>
      </w:pPr>
    </w:p>
    <w:p w14:paraId="5BAAB09D" w14:textId="40DABB4F" w:rsidR="002666A6" w:rsidRPr="00B34155" w:rsidRDefault="002666A6" w:rsidP="00A76B18">
      <w:pPr>
        <w:pStyle w:val="Heading2"/>
        <w:jc w:val="left"/>
      </w:pPr>
      <w:r w:rsidRPr="002E4F46">
        <w:rPr>
          <w:b w:val="0"/>
          <w:bCs/>
        </w:rPr>
        <w:t xml:space="preserve">Procedure for developing or updating a </w:t>
      </w:r>
      <w:r>
        <w:rPr>
          <w:b w:val="0"/>
          <w:bCs/>
        </w:rPr>
        <w:t>regimen</w:t>
      </w:r>
      <w:r w:rsidR="005635BE">
        <w:rPr>
          <w:b w:val="0"/>
          <w:bCs/>
        </w:rPr>
        <w:t xml:space="preserve"> </w:t>
      </w:r>
      <w:r w:rsidR="000354EB">
        <w:rPr>
          <w:b w:val="0"/>
          <w:bCs/>
        </w:rPr>
        <w:t>(</w:t>
      </w:r>
      <w:r w:rsidR="005635BE">
        <w:rPr>
          <w:b w:val="0"/>
          <w:bCs/>
        </w:rPr>
        <w:t>c</w:t>
      </w:r>
      <w:r w:rsidR="000354EB">
        <w:rPr>
          <w:b w:val="0"/>
          <w:bCs/>
        </w:rPr>
        <w:t xml:space="preserve">ombination </w:t>
      </w:r>
      <w:r>
        <w:rPr>
          <w:b w:val="0"/>
          <w:bCs/>
        </w:rPr>
        <w:t>of</w:t>
      </w:r>
      <w:r w:rsidRPr="002E4F46">
        <w:rPr>
          <w:b w:val="0"/>
          <w:bCs/>
        </w:rPr>
        <w:t xml:space="preserve"> commercially available anticancer agent</w:t>
      </w:r>
      <w:r>
        <w:rPr>
          <w:b w:val="0"/>
          <w:bCs/>
        </w:rPr>
        <w:t>s</w:t>
      </w:r>
      <w:r w:rsidR="000354EB">
        <w:rPr>
          <w:b w:val="0"/>
          <w:bCs/>
        </w:rPr>
        <w:t>)</w:t>
      </w:r>
      <w:r w:rsidRPr="002E4F46">
        <w:rPr>
          <w:b w:val="0"/>
          <w:bCs/>
        </w:rPr>
        <w:t xml:space="preserve"> </w:t>
      </w:r>
      <w:r w:rsidR="005635BE">
        <w:rPr>
          <w:b w:val="0"/>
          <w:bCs/>
        </w:rPr>
        <w:t xml:space="preserve">risk </w:t>
      </w:r>
      <w:r w:rsidR="004F51C0">
        <w:rPr>
          <w:b w:val="0"/>
          <w:bCs/>
        </w:rPr>
        <w:t>list</w:t>
      </w:r>
      <w:r w:rsidRPr="002E4F46">
        <w:rPr>
          <w:b w:val="0"/>
          <w:bCs/>
        </w:rPr>
        <w:t>:</w:t>
      </w:r>
    </w:p>
    <w:p w14:paraId="3E46713E" w14:textId="6CDEA100" w:rsidR="00265E89" w:rsidRPr="00B34155" w:rsidRDefault="00265E89" w:rsidP="00271D9F">
      <w:pPr>
        <w:pStyle w:val="ListParagraph"/>
        <w:numPr>
          <w:ilvl w:val="0"/>
          <w:numId w:val="10"/>
        </w:numPr>
        <w:spacing w:after="240" w:line="276" w:lineRule="auto"/>
        <w:rPr>
          <w:rFonts w:cs="Times New Roman"/>
          <w:color w:val="000000"/>
          <w:szCs w:val="24"/>
        </w:rPr>
      </w:pPr>
      <w:r>
        <w:rPr>
          <w:color w:val="000000"/>
          <w:szCs w:val="24"/>
        </w:rPr>
        <w:t xml:space="preserve">For anticancer regimens, </w:t>
      </w:r>
      <w:r w:rsidR="005635BE">
        <w:rPr>
          <w:color w:val="000000"/>
          <w:szCs w:val="24"/>
        </w:rPr>
        <w:t>risk</w:t>
      </w:r>
      <w:r>
        <w:rPr>
          <w:color w:val="000000"/>
          <w:szCs w:val="24"/>
        </w:rPr>
        <w:t xml:space="preserve"> </w:t>
      </w:r>
      <w:r w:rsidR="004F51C0">
        <w:rPr>
          <w:color w:val="000000"/>
          <w:szCs w:val="24"/>
        </w:rPr>
        <w:t xml:space="preserve">lists </w:t>
      </w:r>
      <w:r>
        <w:rPr>
          <w:color w:val="000000"/>
          <w:szCs w:val="24"/>
        </w:rPr>
        <w:t xml:space="preserve">are developed by aggregating the </w:t>
      </w:r>
      <w:r w:rsidR="0019382A">
        <w:rPr>
          <w:szCs w:val="24"/>
        </w:rPr>
        <w:t>informed consent</w:t>
      </w:r>
      <w:r>
        <w:rPr>
          <w:color w:val="000000"/>
          <w:szCs w:val="24"/>
        </w:rPr>
        <w:t xml:space="preserve"> terms from two or more of NCI’s single agent </w:t>
      </w:r>
      <w:r w:rsidR="005635BE">
        <w:rPr>
          <w:color w:val="000000"/>
          <w:szCs w:val="24"/>
        </w:rPr>
        <w:t xml:space="preserve">risk </w:t>
      </w:r>
      <w:r w:rsidR="004F51C0">
        <w:rPr>
          <w:color w:val="000000"/>
          <w:szCs w:val="24"/>
        </w:rPr>
        <w:t>list</w:t>
      </w:r>
      <w:r w:rsidR="005635BE">
        <w:rPr>
          <w:color w:val="000000"/>
          <w:szCs w:val="24"/>
        </w:rPr>
        <w:t>s</w:t>
      </w:r>
      <w:r>
        <w:rPr>
          <w:color w:val="000000"/>
          <w:szCs w:val="24"/>
        </w:rPr>
        <w:t>.</w:t>
      </w:r>
    </w:p>
    <w:p w14:paraId="2F733B2E" w14:textId="55CF8369" w:rsidR="00265E89" w:rsidRPr="00B34155" w:rsidRDefault="004D1FA1" w:rsidP="00271D9F">
      <w:pPr>
        <w:pStyle w:val="ListParagraph"/>
        <w:numPr>
          <w:ilvl w:val="0"/>
          <w:numId w:val="10"/>
        </w:numPr>
        <w:spacing w:after="240" w:line="276" w:lineRule="auto"/>
        <w:rPr>
          <w:rFonts w:cs="Times New Roman"/>
          <w:color w:val="000000"/>
          <w:szCs w:val="24"/>
        </w:rPr>
      </w:pPr>
      <w:r>
        <w:rPr>
          <w:color w:val="000000"/>
          <w:szCs w:val="24"/>
        </w:rPr>
        <w:t>Review e</w:t>
      </w:r>
      <w:r w:rsidR="00265E89">
        <w:rPr>
          <w:color w:val="000000"/>
          <w:szCs w:val="24"/>
        </w:rPr>
        <w:t xml:space="preserve">ach individual single agent </w:t>
      </w:r>
      <w:r w:rsidR="005635BE">
        <w:rPr>
          <w:color w:val="000000"/>
          <w:szCs w:val="24"/>
        </w:rPr>
        <w:t xml:space="preserve">risk </w:t>
      </w:r>
      <w:r w:rsidR="004F51C0">
        <w:rPr>
          <w:color w:val="000000"/>
          <w:szCs w:val="24"/>
        </w:rPr>
        <w:t>list</w:t>
      </w:r>
      <w:r w:rsidR="005635BE">
        <w:rPr>
          <w:color w:val="000000"/>
          <w:szCs w:val="24"/>
        </w:rPr>
        <w:t xml:space="preserve"> </w:t>
      </w:r>
      <w:r>
        <w:rPr>
          <w:color w:val="000000"/>
          <w:szCs w:val="24"/>
        </w:rPr>
        <w:t xml:space="preserve">to </w:t>
      </w:r>
      <w:r w:rsidR="00265E89">
        <w:rPr>
          <w:color w:val="000000"/>
          <w:szCs w:val="24"/>
        </w:rPr>
        <w:t>determine if it</w:t>
      </w:r>
      <w:r w:rsidR="00DB0B57">
        <w:rPr>
          <w:color w:val="000000"/>
          <w:szCs w:val="24"/>
        </w:rPr>
        <w:t xml:space="preserve"> needs to</w:t>
      </w:r>
      <w:r w:rsidR="00265E89">
        <w:rPr>
          <w:color w:val="000000"/>
          <w:szCs w:val="24"/>
        </w:rPr>
        <w:t xml:space="preserve"> be </w:t>
      </w:r>
      <w:r>
        <w:rPr>
          <w:color w:val="000000"/>
          <w:szCs w:val="24"/>
        </w:rPr>
        <w:t xml:space="preserve">created, </w:t>
      </w:r>
      <w:r w:rsidR="00DB0B57">
        <w:rPr>
          <w:color w:val="000000"/>
          <w:szCs w:val="24"/>
        </w:rPr>
        <w:t>reviewed, or</w:t>
      </w:r>
      <w:r w:rsidR="00265E89">
        <w:rPr>
          <w:color w:val="000000"/>
          <w:szCs w:val="24"/>
        </w:rPr>
        <w:t xml:space="preserve"> updated prior to aggregating the terms for the regimen </w:t>
      </w:r>
      <w:r w:rsidR="005635BE">
        <w:rPr>
          <w:color w:val="000000"/>
          <w:szCs w:val="24"/>
        </w:rPr>
        <w:t xml:space="preserve">risk </w:t>
      </w:r>
      <w:r w:rsidR="004F51C0">
        <w:rPr>
          <w:color w:val="000000"/>
          <w:szCs w:val="24"/>
        </w:rPr>
        <w:t>list</w:t>
      </w:r>
      <w:r w:rsidR="00265E89">
        <w:rPr>
          <w:color w:val="000000"/>
          <w:szCs w:val="24"/>
        </w:rPr>
        <w:t>.</w:t>
      </w:r>
    </w:p>
    <w:p w14:paraId="72B21D83" w14:textId="0357D093" w:rsidR="004F51C0" w:rsidRDefault="00265E89" w:rsidP="004F51C0">
      <w:pPr>
        <w:numPr>
          <w:ilvl w:val="0"/>
          <w:numId w:val="10"/>
        </w:numPr>
        <w:rPr>
          <w:color w:val="000000"/>
          <w:szCs w:val="24"/>
        </w:rPr>
      </w:pPr>
      <w:r>
        <w:rPr>
          <w:color w:val="000000"/>
          <w:szCs w:val="24"/>
        </w:rPr>
        <w:t xml:space="preserve">Beginning with two single </w:t>
      </w:r>
      <w:r w:rsidR="00DC6514">
        <w:rPr>
          <w:color w:val="000000"/>
          <w:szCs w:val="24"/>
        </w:rPr>
        <w:t>agents</w:t>
      </w:r>
      <w:r>
        <w:rPr>
          <w:color w:val="000000"/>
          <w:szCs w:val="24"/>
        </w:rPr>
        <w:t xml:space="preserve"> </w:t>
      </w:r>
      <w:r w:rsidR="005635BE">
        <w:rPr>
          <w:color w:val="000000"/>
          <w:szCs w:val="24"/>
        </w:rPr>
        <w:t xml:space="preserve">risk </w:t>
      </w:r>
      <w:r w:rsidR="004F51C0">
        <w:rPr>
          <w:color w:val="000000"/>
          <w:szCs w:val="24"/>
        </w:rPr>
        <w:t>lists</w:t>
      </w:r>
      <w:r>
        <w:rPr>
          <w:color w:val="000000"/>
          <w:szCs w:val="24"/>
        </w:rPr>
        <w:t xml:space="preserve">, the </w:t>
      </w:r>
      <w:r w:rsidR="0019382A">
        <w:rPr>
          <w:szCs w:val="24"/>
        </w:rPr>
        <w:t>informed consent</w:t>
      </w:r>
      <w:r>
        <w:rPr>
          <w:color w:val="000000"/>
          <w:szCs w:val="24"/>
        </w:rPr>
        <w:t xml:space="preserve"> terms and associated symptoms are combined into one </w:t>
      </w:r>
      <w:r w:rsidR="004F51C0">
        <w:rPr>
          <w:color w:val="000000"/>
          <w:szCs w:val="24"/>
        </w:rPr>
        <w:t>list</w:t>
      </w:r>
      <w:r>
        <w:rPr>
          <w:color w:val="000000"/>
          <w:szCs w:val="24"/>
        </w:rPr>
        <w:t>.</w:t>
      </w:r>
      <w:r w:rsidR="005E05C5">
        <w:rPr>
          <w:color w:val="000000"/>
          <w:szCs w:val="24"/>
        </w:rPr>
        <w:t xml:space="preserve"> Duplicative terms and symptoms </w:t>
      </w:r>
      <w:r w:rsidR="00444B0B">
        <w:rPr>
          <w:color w:val="000000"/>
          <w:szCs w:val="24"/>
        </w:rPr>
        <w:t xml:space="preserve">within the same frequency category </w:t>
      </w:r>
      <w:r w:rsidR="005E05C5">
        <w:rPr>
          <w:color w:val="000000"/>
          <w:szCs w:val="24"/>
        </w:rPr>
        <w:t>are deleted.</w:t>
      </w:r>
      <w:r>
        <w:rPr>
          <w:color w:val="000000"/>
          <w:szCs w:val="24"/>
        </w:rPr>
        <w:t xml:space="preserve"> </w:t>
      </w:r>
      <w:r w:rsidR="005E05C5" w:rsidRPr="003B24E3">
        <w:rPr>
          <w:color w:val="000000"/>
          <w:szCs w:val="24"/>
        </w:rPr>
        <w:t>If</w:t>
      </w:r>
      <w:r w:rsidR="005E05C5">
        <w:rPr>
          <w:color w:val="000000"/>
          <w:szCs w:val="24"/>
        </w:rPr>
        <w:t xml:space="preserve"> </w:t>
      </w:r>
      <w:r w:rsidR="005E05C5" w:rsidRPr="003B24E3">
        <w:rPr>
          <w:color w:val="000000"/>
          <w:szCs w:val="24"/>
        </w:rPr>
        <w:t xml:space="preserve">duplicative </w:t>
      </w:r>
      <w:r w:rsidR="0019382A">
        <w:rPr>
          <w:szCs w:val="24"/>
        </w:rPr>
        <w:t>informed consent</w:t>
      </w:r>
      <w:r w:rsidR="005E05C5" w:rsidRPr="003B24E3">
        <w:rPr>
          <w:color w:val="000000"/>
          <w:szCs w:val="24"/>
        </w:rPr>
        <w:t xml:space="preserve"> terms and/or symptoms </w:t>
      </w:r>
      <w:r w:rsidR="005E05C5">
        <w:rPr>
          <w:color w:val="000000"/>
          <w:szCs w:val="24"/>
        </w:rPr>
        <w:t xml:space="preserve">from each of the single agent </w:t>
      </w:r>
      <w:r w:rsidR="004F51C0">
        <w:rPr>
          <w:color w:val="000000"/>
          <w:szCs w:val="24"/>
        </w:rPr>
        <w:t>lists</w:t>
      </w:r>
      <w:r w:rsidR="004F51C0" w:rsidRPr="003B24E3">
        <w:rPr>
          <w:color w:val="000000"/>
          <w:szCs w:val="24"/>
        </w:rPr>
        <w:t xml:space="preserve"> </w:t>
      </w:r>
      <w:r w:rsidR="005E05C5" w:rsidRPr="003B24E3">
        <w:rPr>
          <w:color w:val="000000"/>
          <w:szCs w:val="24"/>
        </w:rPr>
        <w:t>occur with different frequencies</w:t>
      </w:r>
      <w:r w:rsidR="005E05C5">
        <w:rPr>
          <w:color w:val="000000"/>
          <w:szCs w:val="24"/>
        </w:rPr>
        <w:t xml:space="preserve"> (i.e., are listed in different frequency categories)</w:t>
      </w:r>
      <w:r w:rsidR="005E05C5" w:rsidRPr="003B24E3">
        <w:rPr>
          <w:color w:val="000000"/>
          <w:szCs w:val="24"/>
        </w:rPr>
        <w:t xml:space="preserve">, the term should be removed from the less frequent category and placed in </w:t>
      </w:r>
      <w:r w:rsidR="00444B0B">
        <w:rPr>
          <w:color w:val="000000"/>
          <w:szCs w:val="24"/>
        </w:rPr>
        <w:t>the</w:t>
      </w:r>
      <w:r w:rsidR="005E05C5" w:rsidRPr="003B24E3">
        <w:rPr>
          <w:color w:val="000000"/>
          <w:szCs w:val="24"/>
        </w:rPr>
        <w:t xml:space="preserve"> more frequent category in the</w:t>
      </w:r>
      <w:r w:rsidR="005E05C5">
        <w:rPr>
          <w:color w:val="000000"/>
          <w:szCs w:val="24"/>
        </w:rPr>
        <w:t xml:space="preserve"> regimen</w:t>
      </w:r>
      <w:r w:rsidR="005E05C5" w:rsidRPr="003B24E3">
        <w:rPr>
          <w:color w:val="000000"/>
          <w:szCs w:val="24"/>
        </w:rPr>
        <w:t xml:space="preserve"> </w:t>
      </w:r>
      <w:r w:rsidR="005635BE">
        <w:rPr>
          <w:color w:val="000000"/>
          <w:szCs w:val="24"/>
        </w:rPr>
        <w:t>risk</w:t>
      </w:r>
      <w:r w:rsidR="005E05C5" w:rsidRPr="003B24E3">
        <w:rPr>
          <w:color w:val="000000"/>
          <w:szCs w:val="24"/>
        </w:rPr>
        <w:t xml:space="preserve"> </w:t>
      </w:r>
      <w:r w:rsidR="004F51C0">
        <w:rPr>
          <w:color w:val="000000"/>
          <w:szCs w:val="24"/>
        </w:rPr>
        <w:t>list.</w:t>
      </w:r>
    </w:p>
    <w:p w14:paraId="36232792" w14:textId="77777777" w:rsidR="004F51C0" w:rsidRDefault="004F51C0" w:rsidP="004F51C0">
      <w:pPr>
        <w:numPr>
          <w:ilvl w:val="0"/>
          <w:numId w:val="10"/>
        </w:numPr>
        <w:rPr>
          <w:color w:val="000000"/>
          <w:szCs w:val="24"/>
        </w:rPr>
      </w:pPr>
      <w:r>
        <w:rPr>
          <w:color w:val="000000"/>
          <w:szCs w:val="24"/>
        </w:rPr>
        <w:t>For regimens involving more than two agents, additional single agent risk list(s) can be combined with the developing regimen list one at a time until all adverse events for all agents included in the regimen are accounted for.</w:t>
      </w:r>
    </w:p>
    <w:p w14:paraId="7DB1E4FA" w14:textId="77777777" w:rsidR="004F51C0" w:rsidRPr="00B34155" w:rsidRDefault="004F51C0" w:rsidP="004F51C0">
      <w:pPr>
        <w:pStyle w:val="ListParagraph"/>
        <w:numPr>
          <w:ilvl w:val="0"/>
          <w:numId w:val="10"/>
        </w:numPr>
        <w:spacing w:after="240" w:line="276" w:lineRule="auto"/>
        <w:rPr>
          <w:rFonts w:cs="Times New Roman"/>
          <w:color w:val="000000"/>
          <w:szCs w:val="24"/>
        </w:rPr>
      </w:pPr>
      <w:r w:rsidRPr="00B34155">
        <w:rPr>
          <w:rFonts w:cs="Times New Roman"/>
          <w:color w:val="000000"/>
          <w:szCs w:val="24"/>
        </w:rPr>
        <w:t xml:space="preserve">If the </w:t>
      </w:r>
      <w:r>
        <w:rPr>
          <w:rFonts w:cs="Times New Roman"/>
          <w:color w:val="000000"/>
          <w:szCs w:val="24"/>
        </w:rPr>
        <w:t xml:space="preserve">two single agent risk lists include duplicate terms – one as a primary </w:t>
      </w:r>
      <w:r>
        <w:rPr>
          <w:szCs w:val="24"/>
        </w:rPr>
        <w:t>informed consent</w:t>
      </w:r>
      <w:r>
        <w:rPr>
          <w:rFonts w:cs="Times New Roman"/>
          <w:color w:val="000000"/>
          <w:szCs w:val="24"/>
        </w:rPr>
        <w:t xml:space="preserve"> term and the other as a s</w:t>
      </w:r>
      <w:r w:rsidRPr="00B34155">
        <w:rPr>
          <w:rFonts w:cs="Times New Roman"/>
          <w:color w:val="000000"/>
          <w:szCs w:val="24"/>
        </w:rPr>
        <w:t>ymptom</w:t>
      </w:r>
      <w:r>
        <w:rPr>
          <w:rFonts w:cs="Times New Roman"/>
          <w:color w:val="000000"/>
          <w:szCs w:val="24"/>
        </w:rPr>
        <w:t xml:space="preserve"> associated with another condition, </w:t>
      </w:r>
      <w:r w:rsidRPr="00B34155">
        <w:rPr>
          <w:rFonts w:cs="Times New Roman"/>
          <w:color w:val="000000"/>
          <w:szCs w:val="24"/>
        </w:rPr>
        <w:t xml:space="preserve">the </w:t>
      </w:r>
      <w:r>
        <w:rPr>
          <w:rFonts w:cs="Times New Roman"/>
          <w:color w:val="000000"/>
          <w:szCs w:val="24"/>
        </w:rPr>
        <w:t>s</w:t>
      </w:r>
      <w:r w:rsidRPr="00B34155">
        <w:rPr>
          <w:rFonts w:cs="Times New Roman"/>
          <w:color w:val="000000"/>
          <w:szCs w:val="24"/>
        </w:rPr>
        <w:t xml:space="preserve">ymptom should be omitted </w:t>
      </w:r>
      <w:r>
        <w:rPr>
          <w:rFonts w:cs="Times New Roman"/>
          <w:color w:val="000000"/>
          <w:szCs w:val="24"/>
        </w:rPr>
        <w:t xml:space="preserve">(unless the single agent “directions” indicate an exception) </w:t>
      </w:r>
      <w:r w:rsidRPr="00B34155">
        <w:rPr>
          <w:rFonts w:cs="Times New Roman"/>
          <w:color w:val="000000"/>
          <w:szCs w:val="24"/>
        </w:rPr>
        <w:t xml:space="preserve">and the </w:t>
      </w:r>
      <w:r>
        <w:rPr>
          <w:rFonts w:cs="Times New Roman"/>
          <w:color w:val="000000"/>
          <w:szCs w:val="24"/>
        </w:rPr>
        <w:t xml:space="preserve">primary </w:t>
      </w:r>
      <w:r>
        <w:rPr>
          <w:szCs w:val="24"/>
        </w:rPr>
        <w:t>informed consent</w:t>
      </w:r>
      <w:r>
        <w:rPr>
          <w:rFonts w:cs="Times New Roman"/>
          <w:color w:val="000000"/>
          <w:szCs w:val="24"/>
        </w:rPr>
        <w:t xml:space="preserve"> term should be</w:t>
      </w:r>
      <w:r w:rsidRPr="00B34155">
        <w:rPr>
          <w:rFonts w:cs="Times New Roman"/>
          <w:color w:val="000000"/>
          <w:szCs w:val="24"/>
        </w:rPr>
        <w:t xml:space="preserve"> </w:t>
      </w:r>
      <w:r>
        <w:rPr>
          <w:rFonts w:cs="Times New Roman"/>
          <w:color w:val="000000"/>
          <w:szCs w:val="24"/>
        </w:rPr>
        <w:t>listed, even if it is categorized as occurring less frequently</w:t>
      </w:r>
      <w:r w:rsidRPr="00B34155">
        <w:rPr>
          <w:rFonts w:cs="Times New Roman"/>
          <w:color w:val="000000"/>
          <w:szCs w:val="24"/>
        </w:rPr>
        <w:t>.</w:t>
      </w:r>
    </w:p>
    <w:p w14:paraId="2CAA3BF7" w14:textId="77777777" w:rsidR="004F51C0" w:rsidRDefault="004F51C0" w:rsidP="004F51C0">
      <w:pPr>
        <w:numPr>
          <w:ilvl w:val="0"/>
          <w:numId w:val="10"/>
        </w:numPr>
        <w:rPr>
          <w:color w:val="000000"/>
          <w:szCs w:val="24"/>
        </w:rPr>
      </w:pPr>
      <w:r>
        <w:rPr>
          <w:color w:val="000000"/>
          <w:szCs w:val="24"/>
        </w:rPr>
        <w:t xml:space="preserve">Guidelines for combining </w:t>
      </w:r>
      <w:r>
        <w:rPr>
          <w:szCs w:val="24"/>
        </w:rPr>
        <w:t>informed consent</w:t>
      </w:r>
      <w:r>
        <w:rPr>
          <w:color w:val="000000"/>
          <w:szCs w:val="24"/>
        </w:rPr>
        <w:t xml:space="preserve"> terms as described in the previous procedures for developing single agent risk lists also apply to regimens (see #10, 11, and 12).</w:t>
      </w:r>
    </w:p>
    <w:p w14:paraId="19CB3100" w14:textId="77777777" w:rsidR="004F51C0" w:rsidRDefault="004F51C0" w:rsidP="004F51C0">
      <w:pPr>
        <w:numPr>
          <w:ilvl w:val="0"/>
          <w:numId w:val="10"/>
        </w:numPr>
        <w:rPr>
          <w:color w:val="000000"/>
          <w:szCs w:val="24"/>
        </w:rPr>
      </w:pPr>
      <w:r>
        <w:rPr>
          <w:color w:val="000000"/>
          <w:szCs w:val="24"/>
        </w:rPr>
        <w:t xml:space="preserve">Reference documents related to risk lists for individual single agents included in the regimen may need to be consulted to recall the original scientific adverse event that an </w:t>
      </w:r>
      <w:r>
        <w:rPr>
          <w:szCs w:val="24"/>
        </w:rPr>
        <w:t>informed consent</w:t>
      </w:r>
      <w:r>
        <w:rPr>
          <w:color w:val="000000"/>
          <w:szCs w:val="24"/>
        </w:rPr>
        <w:t xml:space="preserve"> term is translated from in order to determine whether or not symptoms can be de-duplicated for some conditions.</w:t>
      </w:r>
    </w:p>
    <w:p w14:paraId="23237E4E" w14:textId="77777777" w:rsidR="004F51C0" w:rsidRDefault="004F51C0" w:rsidP="00872AF0">
      <w:pPr>
        <w:pStyle w:val="ListParagraph"/>
        <w:spacing w:after="240" w:line="276" w:lineRule="auto"/>
        <w:rPr>
          <w:color w:val="000000"/>
          <w:szCs w:val="24"/>
        </w:rPr>
        <w:sectPr w:rsidR="004F51C0" w:rsidSect="00A33130">
          <w:footerReference w:type="default" r:id="rId9"/>
          <w:pgSz w:w="12240" w:h="15840"/>
          <w:pgMar w:top="720" w:right="720" w:bottom="720" w:left="720" w:header="720" w:footer="720" w:gutter="0"/>
          <w:cols w:space="720"/>
          <w:docGrid w:linePitch="360"/>
        </w:sectPr>
      </w:pPr>
    </w:p>
    <w:p w14:paraId="23B13DBF" w14:textId="3B3C7B5D" w:rsidR="00DA225D" w:rsidRDefault="00DA225D" w:rsidP="00265E89">
      <w:pPr>
        <w:numPr>
          <w:ilvl w:val="0"/>
          <w:numId w:val="10"/>
        </w:numPr>
        <w:rPr>
          <w:color w:val="000000"/>
          <w:szCs w:val="24"/>
        </w:rPr>
      </w:pPr>
      <w:r>
        <w:rPr>
          <w:color w:val="000000"/>
          <w:szCs w:val="24"/>
        </w:rPr>
        <w:lastRenderedPageBreak/>
        <w:t xml:space="preserve">After all </w:t>
      </w:r>
      <w:r w:rsidR="002E4F46">
        <w:rPr>
          <w:szCs w:val="24"/>
        </w:rPr>
        <w:t>informed consent</w:t>
      </w:r>
      <w:r>
        <w:rPr>
          <w:color w:val="000000"/>
          <w:szCs w:val="24"/>
        </w:rPr>
        <w:t xml:space="preserve"> terms have been aggregated for the regimen</w:t>
      </w:r>
      <w:r w:rsidR="00ED2596">
        <w:rPr>
          <w:color w:val="000000"/>
          <w:szCs w:val="24"/>
        </w:rPr>
        <w:t>,</w:t>
      </w:r>
      <w:r>
        <w:rPr>
          <w:color w:val="000000"/>
          <w:szCs w:val="24"/>
        </w:rPr>
        <w:t xml:space="preserve"> </w:t>
      </w:r>
      <w:r w:rsidR="00885C1E">
        <w:rPr>
          <w:color w:val="000000"/>
          <w:szCs w:val="24"/>
        </w:rPr>
        <w:t>terms should be categorized by frequency</w:t>
      </w:r>
      <w:r>
        <w:rPr>
          <w:color w:val="000000"/>
          <w:szCs w:val="24"/>
        </w:rPr>
        <w:t xml:space="preserve"> (i.e., Common, Occasional, Rare)</w:t>
      </w:r>
      <w:r w:rsidR="00885C1E">
        <w:rPr>
          <w:color w:val="000000"/>
          <w:szCs w:val="24"/>
        </w:rPr>
        <w:t xml:space="preserve"> and listed in a uniform manner within each frequenc</w:t>
      </w:r>
      <w:r w:rsidR="00466978">
        <w:rPr>
          <w:color w:val="000000"/>
          <w:szCs w:val="24"/>
        </w:rPr>
        <w:t>y</w:t>
      </w:r>
      <w:r w:rsidR="00885C1E">
        <w:rPr>
          <w:color w:val="000000"/>
          <w:szCs w:val="24"/>
        </w:rPr>
        <w:t xml:space="preserve"> category</w:t>
      </w:r>
      <w:r w:rsidR="00FE3F34">
        <w:rPr>
          <w:color w:val="000000"/>
          <w:szCs w:val="24"/>
        </w:rPr>
        <w:t xml:space="preserve">, as done with </w:t>
      </w:r>
      <w:r w:rsidR="002D67CB">
        <w:rPr>
          <w:color w:val="000000"/>
          <w:szCs w:val="24"/>
        </w:rPr>
        <w:t>s</w:t>
      </w:r>
      <w:r w:rsidR="00FE3F34">
        <w:rPr>
          <w:color w:val="000000"/>
          <w:szCs w:val="24"/>
        </w:rPr>
        <w:t>ingle agent risk lists</w:t>
      </w:r>
      <w:r w:rsidR="00147219">
        <w:rPr>
          <w:color w:val="000000"/>
          <w:szCs w:val="24"/>
        </w:rPr>
        <w:t>.</w:t>
      </w:r>
      <w:r w:rsidR="00ED2596" w:rsidRPr="00F00B4B">
        <w:rPr>
          <w:color w:val="000000"/>
          <w:szCs w:val="24"/>
          <w:vertAlign w:val="superscript"/>
        </w:rPr>
        <w:t>†</w:t>
      </w:r>
      <w:r w:rsidR="00FA1F5F">
        <w:rPr>
          <w:color w:val="000000"/>
          <w:szCs w:val="24"/>
        </w:rPr>
        <w:t xml:space="preserve">  On a case-by-case basis, depending on the agents, symptoms, adverse effects, and</w:t>
      </w:r>
      <w:r w:rsidR="000E4BA5">
        <w:rPr>
          <w:color w:val="000000"/>
          <w:szCs w:val="24"/>
        </w:rPr>
        <w:t>/</w:t>
      </w:r>
      <w:r w:rsidR="00FA1F5F">
        <w:rPr>
          <w:color w:val="000000"/>
          <w:szCs w:val="24"/>
        </w:rPr>
        <w:t xml:space="preserve">or severities involved, adjustments or modifications may be made to the </w:t>
      </w:r>
      <w:r w:rsidR="00F50573">
        <w:rPr>
          <w:color w:val="000000"/>
          <w:szCs w:val="24"/>
        </w:rPr>
        <w:t>grouping</w:t>
      </w:r>
      <w:r w:rsidR="00FA1F5F">
        <w:rPr>
          <w:color w:val="000000"/>
          <w:szCs w:val="24"/>
        </w:rPr>
        <w:t xml:space="preserve"> and listing of terms and/or symptoms</w:t>
      </w:r>
      <w:r w:rsidR="00AA3862">
        <w:rPr>
          <w:color w:val="000000"/>
          <w:szCs w:val="24"/>
        </w:rPr>
        <w:t xml:space="preserve"> on regimen risk lists</w:t>
      </w:r>
      <w:r w:rsidR="00466978">
        <w:rPr>
          <w:color w:val="000000"/>
          <w:szCs w:val="24"/>
        </w:rPr>
        <w:t>.</w:t>
      </w:r>
    </w:p>
    <w:p w14:paraId="619A7FD5" w14:textId="77777777" w:rsidR="00DA225D" w:rsidRPr="00B34155" w:rsidRDefault="00DA225D" w:rsidP="00A94682">
      <w:pPr>
        <w:ind w:left="720"/>
        <w:rPr>
          <w:color w:val="000000"/>
          <w:szCs w:val="24"/>
        </w:rPr>
      </w:pPr>
    </w:p>
    <w:p w14:paraId="7F26F819" w14:textId="77777777" w:rsidR="00CD1B54" w:rsidRPr="00B34155" w:rsidRDefault="00FC73BE" w:rsidP="00A76B18">
      <w:pPr>
        <w:pStyle w:val="Heading2"/>
        <w:jc w:val="left"/>
      </w:pPr>
      <w:r w:rsidRPr="00B34155">
        <w:t>References:</w:t>
      </w:r>
    </w:p>
    <w:p w14:paraId="1508E29A" w14:textId="77777777" w:rsidR="00CD1B54" w:rsidRPr="00B34155" w:rsidRDefault="006A1F30" w:rsidP="00EF749D">
      <w:pPr>
        <w:pStyle w:val="ListParagraph"/>
        <w:numPr>
          <w:ilvl w:val="3"/>
          <w:numId w:val="5"/>
        </w:numPr>
        <w:ind w:left="810" w:hanging="450"/>
        <w:rPr>
          <w:rFonts w:cs="Times New Roman"/>
          <w:color w:val="000000"/>
          <w:szCs w:val="24"/>
        </w:rPr>
      </w:pPr>
      <w:r w:rsidRPr="00B34155">
        <w:rPr>
          <w:rFonts w:cs="Times New Roman"/>
          <w:color w:val="000000"/>
          <w:szCs w:val="24"/>
        </w:rPr>
        <w:t>Kupferberg N, Hartel LJ.</w:t>
      </w:r>
      <w:r w:rsidR="00CD1B54" w:rsidRPr="00B34155">
        <w:rPr>
          <w:rFonts w:cs="Times New Roman"/>
          <w:color w:val="000000"/>
          <w:szCs w:val="24"/>
        </w:rPr>
        <w:t xml:space="preserve"> Evaluation of five full-text drug databases by pharmacy students, faculty, and l</w:t>
      </w:r>
      <w:r w:rsidRPr="00B34155">
        <w:rPr>
          <w:rFonts w:cs="Times New Roman"/>
          <w:color w:val="000000"/>
          <w:szCs w:val="24"/>
        </w:rPr>
        <w:t>ibrarians: do the groups agree?</w:t>
      </w:r>
      <w:r w:rsidR="00CD1B54" w:rsidRPr="00B34155">
        <w:rPr>
          <w:rFonts w:cs="Times New Roman"/>
          <w:color w:val="000000"/>
          <w:szCs w:val="24"/>
        </w:rPr>
        <w:t xml:space="preserve"> </w:t>
      </w:r>
      <w:r w:rsidR="00EF749D" w:rsidRPr="00B34155">
        <w:rPr>
          <w:rStyle w:val="Emphasis"/>
          <w:rFonts w:cs="Times New Roman"/>
        </w:rPr>
        <w:t>J Med Libr Assoc.</w:t>
      </w:r>
      <w:r w:rsidR="00EF749D" w:rsidRPr="00B34155">
        <w:rPr>
          <w:rFonts w:cs="Times New Roman"/>
          <w:color w:val="000000"/>
          <w:szCs w:val="24"/>
        </w:rPr>
        <w:t xml:space="preserve"> </w:t>
      </w:r>
      <w:r w:rsidRPr="00B34155">
        <w:rPr>
          <w:rFonts w:cs="Times New Roman"/>
          <w:color w:val="000000"/>
          <w:szCs w:val="24"/>
        </w:rPr>
        <w:t>2004;</w:t>
      </w:r>
      <w:r w:rsidR="00EF749D" w:rsidRPr="00B34155">
        <w:rPr>
          <w:rFonts w:cs="Times New Roman"/>
          <w:color w:val="000000"/>
          <w:szCs w:val="24"/>
        </w:rPr>
        <w:t>9</w:t>
      </w:r>
      <w:r w:rsidR="004E6869" w:rsidRPr="00B34155">
        <w:rPr>
          <w:rFonts w:cs="Times New Roman"/>
          <w:color w:val="000000"/>
          <w:szCs w:val="24"/>
        </w:rPr>
        <w:t>2(1):</w:t>
      </w:r>
      <w:r w:rsidR="001A2732" w:rsidRPr="00B34155">
        <w:rPr>
          <w:rFonts w:cs="Times New Roman"/>
          <w:color w:val="000000"/>
          <w:szCs w:val="24"/>
        </w:rPr>
        <w:t>66-</w:t>
      </w:r>
      <w:r w:rsidR="00EF749D" w:rsidRPr="00B34155">
        <w:rPr>
          <w:rFonts w:cs="Times New Roman"/>
          <w:color w:val="000000"/>
          <w:szCs w:val="24"/>
        </w:rPr>
        <w:t>71.</w:t>
      </w:r>
    </w:p>
    <w:p w14:paraId="10E9E9D1" w14:textId="77777777" w:rsidR="00EF749D" w:rsidRPr="00B34155" w:rsidRDefault="00CF5662" w:rsidP="00EF749D">
      <w:pPr>
        <w:pStyle w:val="ListParagraph"/>
        <w:numPr>
          <w:ilvl w:val="3"/>
          <w:numId w:val="5"/>
        </w:numPr>
        <w:ind w:left="810" w:hanging="450"/>
        <w:rPr>
          <w:rFonts w:cs="Times New Roman"/>
          <w:color w:val="000000"/>
          <w:szCs w:val="24"/>
        </w:rPr>
      </w:pPr>
      <w:r w:rsidRPr="00B34155">
        <w:rPr>
          <w:rFonts w:cs="Times New Roman"/>
          <w:color w:val="000000"/>
          <w:szCs w:val="24"/>
        </w:rPr>
        <w:t>Bogardus ST, Holmboe E, Jekel JF.</w:t>
      </w:r>
      <w:r w:rsidR="006A1F30" w:rsidRPr="00B34155">
        <w:rPr>
          <w:rFonts w:cs="Times New Roman"/>
          <w:color w:val="000000"/>
          <w:szCs w:val="24"/>
        </w:rPr>
        <w:t xml:space="preserve"> </w:t>
      </w:r>
      <w:r w:rsidR="00EF749D" w:rsidRPr="00B34155">
        <w:rPr>
          <w:rFonts w:cs="Times New Roman"/>
          <w:color w:val="000000"/>
          <w:szCs w:val="24"/>
        </w:rPr>
        <w:t xml:space="preserve">Perils, </w:t>
      </w:r>
      <w:r w:rsidR="006A1F30" w:rsidRPr="00B34155">
        <w:rPr>
          <w:rFonts w:cs="Times New Roman"/>
          <w:color w:val="000000"/>
          <w:szCs w:val="24"/>
        </w:rPr>
        <w:t>pitfalls, and possibilities in talking about medical risk</w:t>
      </w:r>
      <w:r w:rsidR="00E80ACF" w:rsidRPr="00B34155">
        <w:rPr>
          <w:rFonts w:cs="Times New Roman"/>
          <w:color w:val="000000"/>
          <w:szCs w:val="24"/>
        </w:rPr>
        <w:t xml:space="preserve">. </w:t>
      </w:r>
      <w:r w:rsidR="00E80ACF" w:rsidRPr="00B34155">
        <w:rPr>
          <w:rStyle w:val="Emphasis"/>
          <w:rFonts w:cs="Times New Roman"/>
        </w:rPr>
        <w:t>JAMA.</w:t>
      </w:r>
      <w:r w:rsidR="00E80ACF" w:rsidRPr="00B34155">
        <w:rPr>
          <w:rFonts w:cs="Times New Roman"/>
          <w:color w:val="000000"/>
          <w:szCs w:val="24"/>
        </w:rPr>
        <w:t xml:space="preserve"> </w:t>
      </w:r>
      <w:r w:rsidR="00EF749D" w:rsidRPr="00B34155">
        <w:rPr>
          <w:rFonts w:cs="Times New Roman"/>
          <w:color w:val="000000"/>
          <w:szCs w:val="24"/>
        </w:rPr>
        <w:t>1999</w:t>
      </w:r>
      <w:r w:rsidR="006A1F30" w:rsidRPr="00B34155">
        <w:rPr>
          <w:rFonts w:cs="Times New Roman"/>
          <w:color w:val="000000"/>
          <w:szCs w:val="24"/>
        </w:rPr>
        <w:t>;281</w:t>
      </w:r>
      <w:r w:rsidR="00EF749D" w:rsidRPr="00B34155">
        <w:rPr>
          <w:rFonts w:cs="Times New Roman"/>
          <w:color w:val="000000"/>
          <w:szCs w:val="24"/>
        </w:rPr>
        <w:t>(11)</w:t>
      </w:r>
      <w:r w:rsidR="006A1F30" w:rsidRPr="00B34155">
        <w:rPr>
          <w:rFonts w:cs="Times New Roman"/>
          <w:color w:val="000000"/>
          <w:szCs w:val="24"/>
        </w:rPr>
        <w:t>:</w:t>
      </w:r>
      <w:r w:rsidR="00EF749D" w:rsidRPr="00B34155">
        <w:rPr>
          <w:rFonts w:cs="Times New Roman"/>
          <w:color w:val="000000"/>
          <w:szCs w:val="24"/>
        </w:rPr>
        <w:t>1037-1041.</w:t>
      </w:r>
    </w:p>
    <w:p w14:paraId="78BBAF6B" w14:textId="77777777" w:rsidR="00EF749D" w:rsidRPr="00B34155" w:rsidRDefault="00486E58" w:rsidP="00EF749D">
      <w:pPr>
        <w:pStyle w:val="ListParagraph"/>
        <w:numPr>
          <w:ilvl w:val="3"/>
          <w:numId w:val="5"/>
        </w:numPr>
        <w:ind w:left="810" w:hanging="450"/>
        <w:rPr>
          <w:rFonts w:cs="Times New Roman"/>
          <w:color w:val="000000"/>
          <w:szCs w:val="24"/>
        </w:rPr>
      </w:pPr>
      <w:r w:rsidRPr="00B34155">
        <w:rPr>
          <w:rFonts w:cs="Times New Roman"/>
          <w:color w:val="000000"/>
          <w:szCs w:val="24"/>
        </w:rPr>
        <w:t xml:space="preserve">Berry DC, Knapp P, Raynor DK. </w:t>
      </w:r>
      <w:r w:rsidR="00EF749D" w:rsidRPr="00B34155">
        <w:rPr>
          <w:rFonts w:cs="Times New Roman"/>
          <w:color w:val="000000"/>
          <w:szCs w:val="24"/>
        </w:rPr>
        <w:t xml:space="preserve">Provision of information about drug side-effects to patients. </w:t>
      </w:r>
      <w:r w:rsidR="00EF749D" w:rsidRPr="00B34155">
        <w:rPr>
          <w:rStyle w:val="Emphasis"/>
          <w:rFonts w:cs="Times New Roman"/>
        </w:rPr>
        <w:t>Lancet</w:t>
      </w:r>
      <w:r w:rsidR="00E20B1C" w:rsidRPr="00B34155">
        <w:rPr>
          <w:rStyle w:val="Emphasis"/>
          <w:rFonts w:cs="Times New Roman"/>
        </w:rPr>
        <w:t>.</w:t>
      </w:r>
      <w:r w:rsidR="00EF749D" w:rsidRPr="00B34155">
        <w:rPr>
          <w:rFonts w:cs="Times New Roman"/>
          <w:color w:val="000000"/>
          <w:szCs w:val="24"/>
        </w:rPr>
        <w:t xml:space="preserve"> </w:t>
      </w:r>
      <w:r w:rsidRPr="00B34155">
        <w:rPr>
          <w:rFonts w:cs="Times New Roman"/>
          <w:color w:val="000000"/>
          <w:szCs w:val="24"/>
        </w:rPr>
        <w:t>2002</w:t>
      </w:r>
      <w:r w:rsidR="00E20B1C" w:rsidRPr="00B34155">
        <w:rPr>
          <w:rFonts w:cs="Times New Roman"/>
          <w:color w:val="000000"/>
          <w:szCs w:val="24"/>
        </w:rPr>
        <w:t xml:space="preserve"> Mar </w:t>
      </w:r>
      <w:r w:rsidR="006A1F30" w:rsidRPr="00B34155">
        <w:rPr>
          <w:rFonts w:cs="Times New Roman"/>
          <w:color w:val="000000"/>
          <w:szCs w:val="24"/>
        </w:rPr>
        <w:t>9</w:t>
      </w:r>
      <w:r w:rsidRPr="00B34155">
        <w:rPr>
          <w:rFonts w:cs="Times New Roman"/>
          <w:color w:val="000000"/>
          <w:szCs w:val="24"/>
        </w:rPr>
        <w:t>:</w:t>
      </w:r>
      <w:r w:rsidR="006A1F30" w:rsidRPr="00B34155">
        <w:rPr>
          <w:rFonts w:cs="Times New Roman"/>
          <w:color w:val="000000"/>
          <w:szCs w:val="24"/>
        </w:rPr>
        <w:t>359(9309):</w:t>
      </w:r>
      <w:r w:rsidR="00EF749D" w:rsidRPr="00B34155">
        <w:rPr>
          <w:rFonts w:cs="Times New Roman"/>
          <w:color w:val="000000"/>
          <w:szCs w:val="24"/>
        </w:rPr>
        <w:t>853-</w:t>
      </w:r>
      <w:r w:rsidR="00903E58" w:rsidRPr="00B34155">
        <w:rPr>
          <w:rFonts w:cs="Times New Roman"/>
          <w:color w:val="000000"/>
          <w:szCs w:val="24"/>
        </w:rPr>
        <w:t>85</w:t>
      </w:r>
      <w:r w:rsidR="00EF749D" w:rsidRPr="00B34155">
        <w:rPr>
          <w:rFonts w:cs="Times New Roman"/>
          <w:color w:val="000000"/>
          <w:szCs w:val="24"/>
        </w:rPr>
        <w:t>4</w:t>
      </w:r>
      <w:r w:rsidR="00903E58" w:rsidRPr="00B34155">
        <w:rPr>
          <w:rFonts w:cs="Times New Roman"/>
          <w:color w:val="000000"/>
          <w:szCs w:val="24"/>
        </w:rPr>
        <w:t>.</w:t>
      </w:r>
    </w:p>
    <w:p w14:paraId="53459A6D" w14:textId="77777777" w:rsidR="00EF749D" w:rsidRPr="00B34155" w:rsidRDefault="00671FF7" w:rsidP="00EF749D">
      <w:pPr>
        <w:pStyle w:val="ListParagraph"/>
        <w:numPr>
          <w:ilvl w:val="3"/>
          <w:numId w:val="5"/>
        </w:numPr>
        <w:ind w:left="810" w:hanging="450"/>
        <w:rPr>
          <w:rFonts w:cs="Times New Roman"/>
          <w:color w:val="000000"/>
          <w:szCs w:val="24"/>
        </w:rPr>
      </w:pPr>
      <w:r w:rsidRPr="00B34155">
        <w:rPr>
          <w:rFonts w:cs="Times New Roman"/>
          <w:color w:val="000000"/>
          <w:szCs w:val="24"/>
        </w:rPr>
        <w:t xml:space="preserve">Berry DC, Knapp P, Raynor T. </w:t>
      </w:r>
      <w:r w:rsidR="00EF749D" w:rsidRPr="00B34155">
        <w:rPr>
          <w:rFonts w:cs="Times New Roman"/>
          <w:color w:val="000000"/>
          <w:szCs w:val="24"/>
        </w:rPr>
        <w:t>Expressing medicine side effects: assessing the effectiveness of absolute risk, relative risk</w:t>
      </w:r>
      <w:r w:rsidR="00DC402C" w:rsidRPr="00B34155">
        <w:rPr>
          <w:rFonts w:cs="Times New Roman"/>
          <w:color w:val="000000"/>
          <w:szCs w:val="24"/>
        </w:rPr>
        <w:t>,</w:t>
      </w:r>
      <w:r w:rsidR="00EF749D" w:rsidRPr="00B34155">
        <w:rPr>
          <w:rFonts w:cs="Times New Roman"/>
          <w:color w:val="000000"/>
          <w:szCs w:val="24"/>
        </w:rPr>
        <w:t xml:space="preserve"> and number needed to harm</w:t>
      </w:r>
      <w:r w:rsidRPr="00B34155">
        <w:rPr>
          <w:rFonts w:cs="Times New Roman"/>
          <w:color w:val="000000"/>
          <w:szCs w:val="24"/>
        </w:rPr>
        <w:t>,</w:t>
      </w:r>
      <w:r w:rsidR="00EF749D" w:rsidRPr="00B34155">
        <w:rPr>
          <w:rFonts w:cs="Times New Roman"/>
          <w:color w:val="000000"/>
          <w:szCs w:val="24"/>
        </w:rPr>
        <w:t xml:space="preserve"> and the provision of baseline risk </w:t>
      </w:r>
      <w:r w:rsidR="00FC73BE" w:rsidRPr="00B34155">
        <w:rPr>
          <w:rFonts w:cs="Times New Roman"/>
          <w:color w:val="000000"/>
          <w:szCs w:val="24"/>
        </w:rPr>
        <w:t xml:space="preserve">information. </w:t>
      </w:r>
      <w:r w:rsidR="00D45A79" w:rsidRPr="00B34155">
        <w:rPr>
          <w:rStyle w:val="Emphasis"/>
          <w:rFonts w:cs="Times New Roman"/>
        </w:rPr>
        <w:t>Patient Edu Couns</w:t>
      </w:r>
      <w:r w:rsidR="00FC73BE" w:rsidRPr="00B34155">
        <w:rPr>
          <w:rStyle w:val="Emphasis"/>
          <w:rFonts w:cs="Times New Roman"/>
        </w:rPr>
        <w:t>.</w:t>
      </w:r>
      <w:r w:rsidR="00FC73BE" w:rsidRPr="00B34155">
        <w:rPr>
          <w:rFonts w:cs="Times New Roman"/>
          <w:color w:val="000000"/>
          <w:szCs w:val="24"/>
        </w:rPr>
        <w:t xml:space="preserve"> </w:t>
      </w:r>
      <w:r w:rsidR="004B6397" w:rsidRPr="00B34155">
        <w:rPr>
          <w:rFonts w:cs="Times New Roman"/>
          <w:color w:val="000000"/>
          <w:szCs w:val="24"/>
        </w:rPr>
        <w:t>2006 Oct;63(1-2);89-96.</w:t>
      </w:r>
    </w:p>
    <w:p w14:paraId="3042197F" w14:textId="77777777" w:rsidR="00EF749D" w:rsidRPr="00B34155" w:rsidRDefault="00FC73BE" w:rsidP="00EF749D">
      <w:pPr>
        <w:pStyle w:val="ListParagraph"/>
        <w:numPr>
          <w:ilvl w:val="3"/>
          <w:numId w:val="5"/>
        </w:numPr>
        <w:ind w:left="810" w:hanging="450"/>
        <w:rPr>
          <w:rFonts w:cs="Times New Roman"/>
          <w:color w:val="000000"/>
          <w:szCs w:val="24"/>
        </w:rPr>
      </w:pPr>
      <w:r w:rsidRPr="00B34155">
        <w:rPr>
          <w:rFonts w:cs="Times New Roman"/>
          <w:color w:val="000000"/>
          <w:szCs w:val="24"/>
        </w:rPr>
        <w:t>Koyfman et</w:t>
      </w:r>
      <w:r w:rsidR="002F31E2" w:rsidRPr="00B34155">
        <w:rPr>
          <w:rFonts w:cs="Times New Roman"/>
          <w:color w:val="000000"/>
          <w:szCs w:val="24"/>
        </w:rPr>
        <w:t xml:space="preserve"> al. </w:t>
      </w:r>
      <w:r w:rsidR="00EF749D" w:rsidRPr="00B34155">
        <w:rPr>
          <w:rFonts w:cs="Times New Roman"/>
          <w:color w:val="000000"/>
          <w:szCs w:val="24"/>
        </w:rPr>
        <w:t>A consent form template f</w:t>
      </w:r>
      <w:r w:rsidR="00875034" w:rsidRPr="00B34155">
        <w:rPr>
          <w:rFonts w:cs="Times New Roman"/>
          <w:color w:val="000000"/>
          <w:szCs w:val="24"/>
        </w:rPr>
        <w:t xml:space="preserve">or phase 1 oncology trials. </w:t>
      </w:r>
      <w:r w:rsidR="00875034" w:rsidRPr="00B34155">
        <w:rPr>
          <w:rStyle w:val="Emphasis"/>
          <w:rFonts w:cs="Times New Roman"/>
        </w:rPr>
        <w:t>IRB.</w:t>
      </w:r>
      <w:r w:rsidR="00EF749D" w:rsidRPr="00B34155">
        <w:rPr>
          <w:rFonts w:cs="Times New Roman"/>
          <w:color w:val="000000"/>
          <w:szCs w:val="24"/>
        </w:rPr>
        <w:t xml:space="preserve"> 2009 Jul-Aug;31(4):1-8</w:t>
      </w:r>
      <w:r w:rsidR="00471B1E" w:rsidRPr="00B34155">
        <w:rPr>
          <w:rFonts w:cs="Times New Roman"/>
          <w:color w:val="000000"/>
          <w:szCs w:val="24"/>
        </w:rPr>
        <w:t>.</w:t>
      </w:r>
    </w:p>
    <w:p w14:paraId="72D8E511" w14:textId="77777777" w:rsidR="00EF749D" w:rsidRPr="00B34155" w:rsidRDefault="00EF749D" w:rsidP="00EF749D">
      <w:pPr>
        <w:pStyle w:val="ListParagraph"/>
        <w:numPr>
          <w:ilvl w:val="3"/>
          <w:numId w:val="5"/>
        </w:numPr>
        <w:ind w:left="810" w:hanging="450"/>
        <w:rPr>
          <w:rFonts w:cs="Times New Roman"/>
          <w:color w:val="000000"/>
          <w:szCs w:val="24"/>
        </w:rPr>
      </w:pPr>
      <w:r w:rsidRPr="00B34155">
        <w:rPr>
          <w:rFonts w:cs="Times New Roman"/>
          <w:color w:val="000000"/>
          <w:szCs w:val="24"/>
        </w:rPr>
        <w:t>PRO</w:t>
      </w:r>
      <w:r w:rsidR="00193517" w:rsidRPr="00B34155">
        <w:rPr>
          <w:rFonts w:cs="Times New Roman"/>
          <w:color w:val="000000"/>
          <w:szCs w:val="24"/>
        </w:rPr>
        <w:t>-</w:t>
      </w:r>
      <w:r w:rsidRPr="00B34155">
        <w:rPr>
          <w:rFonts w:cs="Times New Roman"/>
          <w:color w:val="000000"/>
          <w:szCs w:val="24"/>
        </w:rPr>
        <w:t>CTCAE language</w:t>
      </w:r>
    </w:p>
    <w:p w14:paraId="05D8A568" w14:textId="0FBE5879" w:rsidR="00EF749D" w:rsidRPr="00B34155" w:rsidRDefault="007A7412" w:rsidP="00EF749D">
      <w:pPr>
        <w:pStyle w:val="ListParagraph"/>
        <w:numPr>
          <w:ilvl w:val="3"/>
          <w:numId w:val="5"/>
        </w:numPr>
        <w:ind w:left="810" w:hanging="450"/>
        <w:rPr>
          <w:rFonts w:cs="Times New Roman"/>
          <w:color w:val="000000"/>
          <w:szCs w:val="24"/>
        </w:rPr>
      </w:pPr>
      <w:r>
        <w:rPr>
          <w:rFonts w:cs="Times New Roman"/>
          <w:color w:val="000000"/>
          <w:szCs w:val="24"/>
        </w:rPr>
        <w:t>NCTN</w:t>
      </w:r>
      <w:r w:rsidR="00EF749D" w:rsidRPr="00B34155">
        <w:rPr>
          <w:rFonts w:cs="Times New Roman"/>
          <w:color w:val="000000"/>
          <w:szCs w:val="24"/>
        </w:rPr>
        <w:t xml:space="preserve"> Group standard risk </w:t>
      </w:r>
      <w:r w:rsidR="00CC6D78" w:rsidRPr="00B34155">
        <w:rPr>
          <w:rFonts w:cs="Times New Roman"/>
          <w:color w:val="000000"/>
          <w:szCs w:val="24"/>
        </w:rPr>
        <w:t>profiles for commercial agents.</w:t>
      </w:r>
    </w:p>
    <w:sectPr w:rsidR="00EF749D" w:rsidRPr="00B34155" w:rsidSect="00A33130">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1AA245" w14:textId="77777777" w:rsidR="001C6301" w:rsidRDefault="001C6301" w:rsidP="00F57605">
      <w:pPr>
        <w:spacing w:after="0" w:line="240" w:lineRule="auto"/>
      </w:pPr>
      <w:r>
        <w:separator/>
      </w:r>
    </w:p>
  </w:endnote>
  <w:endnote w:type="continuationSeparator" w:id="0">
    <w:p w14:paraId="51BC81D8" w14:textId="77777777" w:rsidR="001C6301" w:rsidRDefault="001C6301" w:rsidP="00F576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F95E6" w14:textId="77777777" w:rsidR="00147219" w:rsidRPr="009278FF" w:rsidRDefault="00147219" w:rsidP="00147219">
    <w:pPr>
      <w:pStyle w:val="Footer"/>
      <w:ind w:left="720"/>
      <w:jc w:val="center"/>
      <w:rPr>
        <w:szCs w:val="24"/>
      </w:rPr>
    </w:pPr>
    <w:r w:rsidRPr="009278FF">
      <w:rPr>
        <w:szCs w:val="24"/>
      </w:rPr>
      <w:t xml:space="preserve">Page </w:t>
    </w:r>
    <w:r w:rsidRPr="009278FF">
      <w:rPr>
        <w:b/>
        <w:szCs w:val="24"/>
      </w:rPr>
      <w:fldChar w:fldCharType="begin"/>
    </w:r>
    <w:r w:rsidRPr="009278FF">
      <w:rPr>
        <w:b/>
        <w:szCs w:val="24"/>
      </w:rPr>
      <w:instrText xml:space="preserve"> PAGE </w:instrText>
    </w:r>
    <w:r w:rsidRPr="009278FF">
      <w:rPr>
        <w:b/>
        <w:szCs w:val="24"/>
      </w:rPr>
      <w:fldChar w:fldCharType="separate"/>
    </w:r>
    <w:r>
      <w:rPr>
        <w:b/>
        <w:szCs w:val="24"/>
      </w:rPr>
      <w:t>1</w:t>
    </w:r>
    <w:r w:rsidRPr="009278FF">
      <w:rPr>
        <w:b/>
        <w:szCs w:val="24"/>
      </w:rPr>
      <w:fldChar w:fldCharType="end"/>
    </w:r>
    <w:r w:rsidRPr="009278FF">
      <w:rPr>
        <w:szCs w:val="24"/>
      </w:rPr>
      <w:t xml:space="preserve"> of </w:t>
    </w:r>
    <w:r w:rsidRPr="009278FF">
      <w:rPr>
        <w:b/>
        <w:szCs w:val="24"/>
      </w:rPr>
      <w:fldChar w:fldCharType="begin"/>
    </w:r>
    <w:r w:rsidRPr="009278FF">
      <w:rPr>
        <w:b/>
        <w:szCs w:val="24"/>
      </w:rPr>
      <w:instrText xml:space="preserve"> NUMPAGES  </w:instrText>
    </w:r>
    <w:r w:rsidRPr="009278FF">
      <w:rPr>
        <w:b/>
        <w:szCs w:val="24"/>
      </w:rPr>
      <w:fldChar w:fldCharType="separate"/>
    </w:r>
    <w:r>
      <w:rPr>
        <w:b/>
        <w:szCs w:val="24"/>
      </w:rPr>
      <w:t>6</w:t>
    </w:r>
    <w:r w:rsidRPr="009278FF">
      <w:rPr>
        <w:b/>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42B7F" w14:textId="5E79A9B8" w:rsidR="004F51C0" w:rsidRPr="007E44E6" w:rsidRDefault="004F51C0">
    <w:pPr>
      <w:pStyle w:val="Footer"/>
      <w:rPr>
        <w:sz w:val="20"/>
        <w:szCs w:val="20"/>
      </w:rPr>
    </w:pPr>
    <w:r w:rsidRPr="00F00B4B">
      <w:rPr>
        <w:color w:val="000000"/>
        <w:szCs w:val="24"/>
        <w:vertAlign w:val="superscript"/>
      </w:rPr>
      <w:t>†</w:t>
    </w:r>
    <w:r>
      <w:rPr>
        <w:color w:val="000000"/>
        <w:szCs w:val="24"/>
      </w:rPr>
      <w:t xml:space="preserve"> </w:t>
    </w:r>
    <w:r w:rsidRPr="007E44E6">
      <w:rPr>
        <w:color w:val="000000"/>
        <w:sz w:val="20"/>
        <w:szCs w:val="20"/>
      </w:rPr>
      <w:t xml:space="preserve">NCI established general guidelines </w:t>
    </w:r>
    <w:r>
      <w:rPr>
        <w:color w:val="000000"/>
        <w:sz w:val="20"/>
        <w:szCs w:val="20"/>
      </w:rPr>
      <w:t>for</w:t>
    </w:r>
    <w:r w:rsidRPr="007E44E6">
      <w:rPr>
        <w:color w:val="000000"/>
        <w:sz w:val="20"/>
        <w:szCs w:val="20"/>
      </w:rPr>
      <w:t xml:space="preserve"> order</w:t>
    </w:r>
    <w:r>
      <w:rPr>
        <w:color w:val="000000"/>
        <w:sz w:val="20"/>
        <w:szCs w:val="20"/>
      </w:rPr>
      <w:t>ing</w:t>
    </w:r>
    <w:r w:rsidRPr="007E44E6">
      <w:rPr>
        <w:color w:val="000000"/>
        <w:sz w:val="20"/>
        <w:szCs w:val="20"/>
      </w:rPr>
      <w:t xml:space="preserve"> and list</w:t>
    </w:r>
    <w:r>
      <w:rPr>
        <w:color w:val="000000"/>
        <w:sz w:val="20"/>
        <w:szCs w:val="20"/>
      </w:rPr>
      <w:t>ing</w:t>
    </w:r>
    <w:r w:rsidRPr="007E44E6">
      <w:rPr>
        <w:color w:val="000000"/>
        <w:sz w:val="20"/>
        <w:szCs w:val="20"/>
      </w:rPr>
      <w:t xml:space="preserve"> informed consent terms by relative risks and by organ system</w:t>
    </w:r>
    <w:r w:rsidR="00BF3D39">
      <w:rPr>
        <w:color w:val="000000"/>
        <w:sz w:val="20"/>
        <w:szCs w:val="20"/>
      </w:rPr>
      <w:t xml:space="preserve"> classification</w:t>
    </w:r>
    <w:r w:rsidRPr="007E44E6">
      <w:rPr>
        <w:color w:val="000000"/>
        <w:sz w:val="20"/>
        <w:szCs w:val="20"/>
      </w:rPr>
      <w:t xml:space="preserve"> within frequency categories in risk lists</w:t>
    </w:r>
    <w:r w:rsidR="008F6455" w:rsidRPr="008F6455">
      <w:rPr>
        <w:color w:val="000000"/>
        <w:sz w:val="20"/>
        <w:szCs w:val="20"/>
      </w:rPr>
      <w:t xml:space="preserve"> </w:t>
    </w:r>
    <w:r w:rsidR="008F6455" w:rsidRPr="00011341">
      <w:rPr>
        <w:color w:val="000000"/>
        <w:sz w:val="20"/>
        <w:szCs w:val="20"/>
      </w:rPr>
      <w:t>for consistency</w:t>
    </w:r>
    <w:r w:rsidR="001E2E10">
      <w:rPr>
        <w:color w:val="000000"/>
        <w:sz w:val="20"/>
        <w:szCs w:val="20"/>
      </w:rPr>
      <w:t xml:space="preserve"> and readability</w:t>
    </w:r>
    <w:r w:rsidRPr="007E44E6">
      <w:rPr>
        <w:color w:val="000000"/>
        <w:sz w:val="20"/>
        <w:szCs w:val="20"/>
      </w:rPr>
      <w:t xml:space="preserve">. </w:t>
    </w:r>
    <w:r w:rsidR="001E2E10">
      <w:rPr>
        <w:color w:val="000000"/>
        <w:sz w:val="20"/>
        <w:szCs w:val="20"/>
      </w:rPr>
      <w:t>Study investigators may</w:t>
    </w:r>
    <w:r w:rsidR="00ED2596">
      <w:rPr>
        <w:color w:val="000000"/>
        <w:sz w:val="20"/>
        <w:szCs w:val="20"/>
      </w:rPr>
      <w:t xml:space="preserve"> order the risks differently or use a modified system for ordering risks, based on their needs or circumstances.</w:t>
    </w:r>
    <w:r w:rsidRPr="007E44E6">
      <w:rPr>
        <w:color w:val="000000"/>
        <w:sz w:val="20"/>
        <w:szCs w:val="20"/>
      </w:rPr>
      <w:t xml:space="preserve"> The general order </w:t>
    </w:r>
    <w:r w:rsidR="008F6455">
      <w:rPr>
        <w:color w:val="000000"/>
        <w:sz w:val="20"/>
        <w:szCs w:val="20"/>
      </w:rPr>
      <w:t xml:space="preserve">by organ system </w:t>
    </w:r>
    <w:r>
      <w:rPr>
        <w:color w:val="000000"/>
        <w:sz w:val="20"/>
        <w:szCs w:val="20"/>
      </w:rPr>
      <w:t xml:space="preserve">used in the risk lists </w:t>
    </w:r>
    <w:r w:rsidR="00027A67">
      <w:rPr>
        <w:color w:val="000000"/>
        <w:sz w:val="20"/>
        <w:szCs w:val="20"/>
      </w:rPr>
      <w:t>(with</w:t>
    </w:r>
    <w:r>
      <w:rPr>
        <w:color w:val="000000"/>
        <w:sz w:val="20"/>
        <w:szCs w:val="20"/>
      </w:rPr>
      <w:t xml:space="preserve"> more serious risks </w:t>
    </w:r>
    <w:r w:rsidR="00BF3D39">
      <w:rPr>
        <w:color w:val="000000"/>
        <w:sz w:val="20"/>
        <w:szCs w:val="20"/>
      </w:rPr>
      <w:t xml:space="preserve">listed </w:t>
    </w:r>
    <w:r w:rsidR="008F6455">
      <w:rPr>
        <w:color w:val="000000"/>
        <w:sz w:val="20"/>
        <w:szCs w:val="20"/>
      </w:rPr>
      <w:t>towards the</w:t>
    </w:r>
    <w:r>
      <w:rPr>
        <w:color w:val="000000"/>
        <w:sz w:val="20"/>
        <w:szCs w:val="20"/>
      </w:rPr>
      <w:t xml:space="preserve"> top</w:t>
    </w:r>
    <w:r w:rsidR="00BF3D39">
      <w:rPr>
        <w:color w:val="000000"/>
        <w:sz w:val="20"/>
        <w:szCs w:val="20"/>
      </w:rPr>
      <w:t xml:space="preserve"> </w:t>
    </w:r>
    <w:r w:rsidR="00BF3D39" w:rsidRPr="00F00B4B">
      <w:rPr>
        <w:color w:val="000000"/>
        <w:sz w:val="20"/>
        <w:szCs w:val="20"/>
      </w:rPr>
      <w:t>within frequency categories</w:t>
    </w:r>
    <w:r w:rsidR="00027A67">
      <w:rPr>
        <w:color w:val="000000"/>
        <w:sz w:val="20"/>
        <w:szCs w:val="20"/>
      </w:rPr>
      <w:t>)</w:t>
    </w:r>
    <w:r w:rsidR="00ED2596">
      <w:rPr>
        <w:color w:val="000000"/>
        <w:sz w:val="20"/>
        <w:szCs w:val="20"/>
      </w:rPr>
      <w:t xml:space="preserve"> </w:t>
    </w:r>
    <w:r w:rsidR="00ED2596" w:rsidRPr="007E44E6">
      <w:rPr>
        <w:color w:val="000000"/>
        <w:sz w:val="20"/>
        <w:szCs w:val="20"/>
      </w:rPr>
      <w:t>is</w:t>
    </w:r>
    <w:r w:rsidRPr="007E44E6">
      <w:rPr>
        <w:color w:val="000000"/>
        <w:sz w:val="20"/>
        <w:szCs w:val="20"/>
      </w:rPr>
      <w:t xml:space="preserve">: cardiovascular, severe neurologic, respiratory, hematologic, hepatic, renal, severe endocrine metabolic, severe ophthalmic, otic, gastrointestinal, immunologic, reproductive, bone and musculoskeletal, psychiatric, less severe neurologic, general constitutional, less severe ophthalmic, dermatologic, and other.  The listing order for some terms may be </w:t>
    </w:r>
    <w:r>
      <w:rPr>
        <w:color w:val="000000"/>
        <w:sz w:val="20"/>
        <w:szCs w:val="20"/>
      </w:rPr>
      <w:t>adjuste</w:t>
    </w:r>
    <w:r w:rsidRPr="007E44E6">
      <w:rPr>
        <w:color w:val="000000"/>
        <w:sz w:val="20"/>
        <w:szCs w:val="20"/>
      </w:rPr>
      <w:t xml:space="preserve">d, on a </w:t>
    </w:r>
    <w:r w:rsidR="00ED2596" w:rsidRPr="007E44E6">
      <w:rPr>
        <w:color w:val="000000"/>
        <w:sz w:val="20"/>
        <w:szCs w:val="20"/>
      </w:rPr>
      <w:t>case-by-case</w:t>
    </w:r>
    <w:r w:rsidRPr="007E44E6">
      <w:rPr>
        <w:color w:val="000000"/>
        <w:sz w:val="20"/>
        <w:szCs w:val="20"/>
      </w:rPr>
      <w:t xml:space="preserve"> basis, depending on the risk or relative risk involved.</w:t>
    </w:r>
  </w:p>
  <w:p w14:paraId="74159355" w14:textId="77777777" w:rsidR="00147219" w:rsidRPr="009278FF" w:rsidRDefault="00147219" w:rsidP="00147219">
    <w:pPr>
      <w:pStyle w:val="Footer"/>
      <w:ind w:left="720"/>
      <w:jc w:val="center"/>
      <w:rPr>
        <w:szCs w:val="24"/>
      </w:rPr>
    </w:pPr>
    <w:r w:rsidRPr="009278FF">
      <w:rPr>
        <w:szCs w:val="24"/>
      </w:rPr>
      <w:t xml:space="preserve">Page </w:t>
    </w:r>
    <w:r w:rsidRPr="009278FF">
      <w:rPr>
        <w:b/>
        <w:szCs w:val="24"/>
      </w:rPr>
      <w:fldChar w:fldCharType="begin"/>
    </w:r>
    <w:r w:rsidRPr="009278FF">
      <w:rPr>
        <w:b/>
        <w:szCs w:val="24"/>
      </w:rPr>
      <w:instrText xml:space="preserve"> PAGE </w:instrText>
    </w:r>
    <w:r w:rsidRPr="009278FF">
      <w:rPr>
        <w:b/>
        <w:szCs w:val="24"/>
      </w:rPr>
      <w:fldChar w:fldCharType="separate"/>
    </w:r>
    <w:r>
      <w:rPr>
        <w:b/>
        <w:szCs w:val="24"/>
      </w:rPr>
      <w:t>1</w:t>
    </w:r>
    <w:r w:rsidRPr="009278FF">
      <w:rPr>
        <w:b/>
        <w:szCs w:val="24"/>
      </w:rPr>
      <w:fldChar w:fldCharType="end"/>
    </w:r>
    <w:r w:rsidRPr="009278FF">
      <w:rPr>
        <w:szCs w:val="24"/>
      </w:rPr>
      <w:t xml:space="preserve"> of </w:t>
    </w:r>
    <w:r w:rsidRPr="009278FF">
      <w:rPr>
        <w:b/>
        <w:szCs w:val="24"/>
      </w:rPr>
      <w:fldChar w:fldCharType="begin"/>
    </w:r>
    <w:r w:rsidRPr="009278FF">
      <w:rPr>
        <w:b/>
        <w:szCs w:val="24"/>
      </w:rPr>
      <w:instrText xml:space="preserve"> NUMPAGES  </w:instrText>
    </w:r>
    <w:r w:rsidRPr="009278FF">
      <w:rPr>
        <w:b/>
        <w:szCs w:val="24"/>
      </w:rPr>
      <w:fldChar w:fldCharType="separate"/>
    </w:r>
    <w:r>
      <w:rPr>
        <w:b/>
        <w:szCs w:val="24"/>
      </w:rPr>
      <w:t>6</w:t>
    </w:r>
    <w:r w:rsidRPr="009278FF">
      <w:rPr>
        <w:b/>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8BA74" w14:textId="77777777" w:rsidR="00147219" w:rsidRPr="009278FF" w:rsidRDefault="00147219" w:rsidP="00147219">
    <w:pPr>
      <w:pStyle w:val="Footer"/>
      <w:ind w:left="720"/>
      <w:jc w:val="center"/>
      <w:rPr>
        <w:szCs w:val="24"/>
      </w:rPr>
    </w:pPr>
    <w:r w:rsidRPr="009278FF">
      <w:rPr>
        <w:szCs w:val="24"/>
      </w:rPr>
      <w:t xml:space="preserve">Page </w:t>
    </w:r>
    <w:r w:rsidRPr="009278FF">
      <w:rPr>
        <w:b/>
        <w:szCs w:val="24"/>
      </w:rPr>
      <w:fldChar w:fldCharType="begin"/>
    </w:r>
    <w:r w:rsidRPr="009278FF">
      <w:rPr>
        <w:b/>
        <w:szCs w:val="24"/>
      </w:rPr>
      <w:instrText xml:space="preserve"> PAGE </w:instrText>
    </w:r>
    <w:r w:rsidRPr="009278FF">
      <w:rPr>
        <w:b/>
        <w:szCs w:val="24"/>
      </w:rPr>
      <w:fldChar w:fldCharType="separate"/>
    </w:r>
    <w:r>
      <w:rPr>
        <w:b/>
        <w:szCs w:val="24"/>
      </w:rPr>
      <w:t>1</w:t>
    </w:r>
    <w:r w:rsidRPr="009278FF">
      <w:rPr>
        <w:b/>
        <w:szCs w:val="24"/>
      </w:rPr>
      <w:fldChar w:fldCharType="end"/>
    </w:r>
    <w:r w:rsidRPr="009278FF">
      <w:rPr>
        <w:szCs w:val="24"/>
      </w:rPr>
      <w:t xml:space="preserve"> of </w:t>
    </w:r>
    <w:r w:rsidRPr="009278FF">
      <w:rPr>
        <w:b/>
        <w:szCs w:val="24"/>
      </w:rPr>
      <w:fldChar w:fldCharType="begin"/>
    </w:r>
    <w:r w:rsidRPr="009278FF">
      <w:rPr>
        <w:b/>
        <w:szCs w:val="24"/>
      </w:rPr>
      <w:instrText xml:space="preserve"> NUMPAGES  </w:instrText>
    </w:r>
    <w:r w:rsidRPr="009278FF">
      <w:rPr>
        <w:b/>
        <w:szCs w:val="24"/>
      </w:rPr>
      <w:fldChar w:fldCharType="separate"/>
    </w:r>
    <w:r>
      <w:rPr>
        <w:b/>
        <w:szCs w:val="24"/>
      </w:rPr>
      <w:t>6</w:t>
    </w:r>
    <w:r w:rsidRPr="009278FF">
      <w:rPr>
        <w:b/>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A2C51E" w14:textId="77777777" w:rsidR="001C6301" w:rsidRDefault="001C6301" w:rsidP="00F57605">
      <w:pPr>
        <w:spacing w:after="0" w:line="240" w:lineRule="auto"/>
      </w:pPr>
      <w:r>
        <w:separator/>
      </w:r>
    </w:p>
  </w:footnote>
  <w:footnote w:type="continuationSeparator" w:id="0">
    <w:p w14:paraId="3FC37263" w14:textId="77777777" w:rsidR="001C6301" w:rsidRDefault="001C6301" w:rsidP="00F576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31E9E"/>
    <w:multiLevelType w:val="hybridMultilevel"/>
    <w:tmpl w:val="1BCE07E4"/>
    <w:lvl w:ilvl="0" w:tplc="CE482E7E">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261E4C"/>
    <w:multiLevelType w:val="hybridMultilevel"/>
    <w:tmpl w:val="FCAA93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000B90"/>
    <w:multiLevelType w:val="hybridMultilevel"/>
    <w:tmpl w:val="8E98DD0C"/>
    <w:lvl w:ilvl="0" w:tplc="B37ADFF4">
      <w:start w:val="1"/>
      <w:numFmt w:val="decimal"/>
      <w:lvlText w:val="%1."/>
      <w:lvlJc w:val="left"/>
      <w:pPr>
        <w:ind w:left="720" w:hanging="360"/>
      </w:pPr>
      <w:rPr>
        <w:i w:val="0"/>
        <w:iCs/>
      </w:rPr>
    </w:lvl>
    <w:lvl w:ilvl="1" w:tplc="04090019">
      <w:start w:val="1"/>
      <w:numFmt w:val="lowerLetter"/>
      <w:lvlText w:val="%2."/>
      <w:lvlJc w:val="left"/>
      <w:pPr>
        <w:ind w:left="1440" w:hanging="360"/>
      </w:pPr>
    </w:lvl>
    <w:lvl w:ilvl="2" w:tplc="44D04860">
      <w:start w:val="1"/>
      <w:numFmt w:val="lowerRoman"/>
      <w:lvlText w:val="%3."/>
      <w:lvlJc w:val="right"/>
      <w:pPr>
        <w:ind w:left="2160" w:hanging="180"/>
      </w:pPr>
      <w:rPr>
        <w:rFonts w:ascii="Times New Roman" w:eastAsia="Calibri" w:hAnsi="Times New Roman" w:cs="Times New Roman"/>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F8823C6"/>
    <w:multiLevelType w:val="hybridMultilevel"/>
    <w:tmpl w:val="BF3622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46880FD2"/>
    <w:multiLevelType w:val="hybridMultilevel"/>
    <w:tmpl w:val="5D1A0D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4DE226C3"/>
    <w:multiLevelType w:val="hybridMultilevel"/>
    <w:tmpl w:val="623AE894"/>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401611C"/>
    <w:multiLevelType w:val="hybridMultilevel"/>
    <w:tmpl w:val="923442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10E734E"/>
    <w:multiLevelType w:val="hybridMultilevel"/>
    <w:tmpl w:val="3F70F7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63010515">
    <w:abstractNumId w:val="2"/>
  </w:num>
  <w:num w:numId="2" w16cid:durableId="339091736">
    <w:abstractNumId w:val="6"/>
  </w:num>
  <w:num w:numId="3" w16cid:durableId="425074829">
    <w:abstractNumId w:val="5"/>
  </w:num>
  <w:num w:numId="4" w16cid:durableId="865102029">
    <w:abstractNumId w:val="2"/>
  </w:num>
  <w:num w:numId="5" w16cid:durableId="1746027676">
    <w:abstractNumId w:val="3"/>
  </w:num>
  <w:num w:numId="6" w16cid:durableId="159593788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56013345">
    <w:abstractNumId w:val="0"/>
  </w:num>
  <w:num w:numId="8" w16cid:durableId="1775394361">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39258676">
    <w:abstractNumId w:val="1"/>
  </w:num>
  <w:num w:numId="10" w16cid:durableId="28543438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616"/>
    <w:rsid w:val="000015CB"/>
    <w:rsid w:val="00001D8C"/>
    <w:rsid w:val="00003345"/>
    <w:rsid w:val="0000582F"/>
    <w:rsid w:val="0000790F"/>
    <w:rsid w:val="00015826"/>
    <w:rsid w:val="000174BE"/>
    <w:rsid w:val="0001760A"/>
    <w:rsid w:val="000249D5"/>
    <w:rsid w:val="0002729E"/>
    <w:rsid w:val="00027A67"/>
    <w:rsid w:val="00027D84"/>
    <w:rsid w:val="000354EB"/>
    <w:rsid w:val="000377FE"/>
    <w:rsid w:val="00042212"/>
    <w:rsid w:val="000422B9"/>
    <w:rsid w:val="00044084"/>
    <w:rsid w:val="000517CB"/>
    <w:rsid w:val="0005540A"/>
    <w:rsid w:val="0005706C"/>
    <w:rsid w:val="00057CDB"/>
    <w:rsid w:val="00060CF7"/>
    <w:rsid w:val="00060F9F"/>
    <w:rsid w:val="00062D76"/>
    <w:rsid w:val="00062EC5"/>
    <w:rsid w:val="00065A48"/>
    <w:rsid w:val="0008235E"/>
    <w:rsid w:val="000835EE"/>
    <w:rsid w:val="000854B8"/>
    <w:rsid w:val="000A6F22"/>
    <w:rsid w:val="000B74E1"/>
    <w:rsid w:val="000C6BF1"/>
    <w:rsid w:val="000C77A8"/>
    <w:rsid w:val="000D5521"/>
    <w:rsid w:val="000D5615"/>
    <w:rsid w:val="000D63E7"/>
    <w:rsid w:val="000E4130"/>
    <w:rsid w:val="000E4A22"/>
    <w:rsid w:val="000E4BA5"/>
    <w:rsid w:val="00100854"/>
    <w:rsid w:val="00103054"/>
    <w:rsid w:val="0012137F"/>
    <w:rsid w:val="00127E0A"/>
    <w:rsid w:val="001305A0"/>
    <w:rsid w:val="00130D2E"/>
    <w:rsid w:val="00137911"/>
    <w:rsid w:val="00143336"/>
    <w:rsid w:val="001464F2"/>
    <w:rsid w:val="00147219"/>
    <w:rsid w:val="0015200D"/>
    <w:rsid w:val="001521BE"/>
    <w:rsid w:val="001549C7"/>
    <w:rsid w:val="00156028"/>
    <w:rsid w:val="00157162"/>
    <w:rsid w:val="001623C2"/>
    <w:rsid w:val="0016255F"/>
    <w:rsid w:val="00162A30"/>
    <w:rsid w:val="00172BE3"/>
    <w:rsid w:val="00187090"/>
    <w:rsid w:val="00190692"/>
    <w:rsid w:val="00191A65"/>
    <w:rsid w:val="001925F9"/>
    <w:rsid w:val="00193517"/>
    <w:rsid w:val="0019382A"/>
    <w:rsid w:val="00194C33"/>
    <w:rsid w:val="0019626B"/>
    <w:rsid w:val="00196A94"/>
    <w:rsid w:val="001A05DD"/>
    <w:rsid w:val="001A2732"/>
    <w:rsid w:val="001A4C4D"/>
    <w:rsid w:val="001B513C"/>
    <w:rsid w:val="001C1056"/>
    <w:rsid w:val="001C2132"/>
    <w:rsid w:val="001C2296"/>
    <w:rsid w:val="001C6301"/>
    <w:rsid w:val="001D2367"/>
    <w:rsid w:val="001D48DA"/>
    <w:rsid w:val="001D797B"/>
    <w:rsid w:val="001E2E10"/>
    <w:rsid w:val="001E4A84"/>
    <w:rsid w:val="001E551C"/>
    <w:rsid w:val="001F2F61"/>
    <w:rsid w:val="00200418"/>
    <w:rsid w:val="0020165A"/>
    <w:rsid w:val="00202446"/>
    <w:rsid w:val="00212A1C"/>
    <w:rsid w:val="00214941"/>
    <w:rsid w:val="002159D6"/>
    <w:rsid w:val="00224F09"/>
    <w:rsid w:val="00235600"/>
    <w:rsid w:val="00235B02"/>
    <w:rsid w:val="002452F3"/>
    <w:rsid w:val="00247B7E"/>
    <w:rsid w:val="00251BF8"/>
    <w:rsid w:val="00252535"/>
    <w:rsid w:val="00260898"/>
    <w:rsid w:val="00265E89"/>
    <w:rsid w:val="002666A6"/>
    <w:rsid w:val="00271D9F"/>
    <w:rsid w:val="002821D9"/>
    <w:rsid w:val="00290E5C"/>
    <w:rsid w:val="00294C92"/>
    <w:rsid w:val="002A210D"/>
    <w:rsid w:val="002A4CCC"/>
    <w:rsid w:val="002A508B"/>
    <w:rsid w:val="002A6B06"/>
    <w:rsid w:val="002B016A"/>
    <w:rsid w:val="002B178C"/>
    <w:rsid w:val="002B2300"/>
    <w:rsid w:val="002B3DA2"/>
    <w:rsid w:val="002B3F5F"/>
    <w:rsid w:val="002C5035"/>
    <w:rsid w:val="002D051B"/>
    <w:rsid w:val="002D07B4"/>
    <w:rsid w:val="002D1486"/>
    <w:rsid w:val="002D4E2E"/>
    <w:rsid w:val="002D67CB"/>
    <w:rsid w:val="002E1011"/>
    <w:rsid w:val="002E4F46"/>
    <w:rsid w:val="002F049E"/>
    <w:rsid w:val="002F0ECD"/>
    <w:rsid w:val="002F31E2"/>
    <w:rsid w:val="002F6AF0"/>
    <w:rsid w:val="002F70C3"/>
    <w:rsid w:val="0030422A"/>
    <w:rsid w:val="00304550"/>
    <w:rsid w:val="00310FBB"/>
    <w:rsid w:val="00314F9D"/>
    <w:rsid w:val="00321E19"/>
    <w:rsid w:val="0032379D"/>
    <w:rsid w:val="003262D3"/>
    <w:rsid w:val="00327446"/>
    <w:rsid w:val="00333856"/>
    <w:rsid w:val="003347D9"/>
    <w:rsid w:val="0034186B"/>
    <w:rsid w:val="00344D26"/>
    <w:rsid w:val="00345326"/>
    <w:rsid w:val="00347C8E"/>
    <w:rsid w:val="00352E06"/>
    <w:rsid w:val="00355A1B"/>
    <w:rsid w:val="00355AFF"/>
    <w:rsid w:val="0035788E"/>
    <w:rsid w:val="00361D60"/>
    <w:rsid w:val="00361F0E"/>
    <w:rsid w:val="00364629"/>
    <w:rsid w:val="0037015A"/>
    <w:rsid w:val="003725DC"/>
    <w:rsid w:val="00375772"/>
    <w:rsid w:val="00377475"/>
    <w:rsid w:val="00381B45"/>
    <w:rsid w:val="0038336E"/>
    <w:rsid w:val="0039247C"/>
    <w:rsid w:val="003935C3"/>
    <w:rsid w:val="00393666"/>
    <w:rsid w:val="0039490D"/>
    <w:rsid w:val="00394CAC"/>
    <w:rsid w:val="00395F49"/>
    <w:rsid w:val="0039686F"/>
    <w:rsid w:val="003973D1"/>
    <w:rsid w:val="003A454B"/>
    <w:rsid w:val="003B24E3"/>
    <w:rsid w:val="003B3A97"/>
    <w:rsid w:val="003B5C36"/>
    <w:rsid w:val="003C2ED5"/>
    <w:rsid w:val="003C7CC3"/>
    <w:rsid w:val="003D066F"/>
    <w:rsid w:val="003D2E8E"/>
    <w:rsid w:val="003D4960"/>
    <w:rsid w:val="003D6024"/>
    <w:rsid w:val="003D6FB9"/>
    <w:rsid w:val="003F06F1"/>
    <w:rsid w:val="003F3FF2"/>
    <w:rsid w:val="003F6F6E"/>
    <w:rsid w:val="004010CC"/>
    <w:rsid w:val="004278E7"/>
    <w:rsid w:val="004304DB"/>
    <w:rsid w:val="0043318F"/>
    <w:rsid w:val="00443167"/>
    <w:rsid w:val="00444B0B"/>
    <w:rsid w:val="00455271"/>
    <w:rsid w:val="00457AC9"/>
    <w:rsid w:val="00466978"/>
    <w:rsid w:val="00471B1E"/>
    <w:rsid w:val="00472100"/>
    <w:rsid w:val="004740AD"/>
    <w:rsid w:val="00484EB2"/>
    <w:rsid w:val="004856C6"/>
    <w:rsid w:val="00486E58"/>
    <w:rsid w:val="00487209"/>
    <w:rsid w:val="004946D0"/>
    <w:rsid w:val="0049526A"/>
    <w:rsid w:val="00495651"/>
    <w:rsid w:val="004A785B"/>
    <w:rsid w:val="004B4242"/>
    <w:rsid w:val="004B6397"/>
    <w:rsid w:val="004C124F"/>
    <w:rsid w:val="004D1FA1"/>
    <w:rsid w:val="004D6266"/>
    <w:rsid w:val="004E023B"/>
    <w:rsid w:val="004E1B8D"/>
    <w:rsid w:val="004E1F7B"/>
    <w:rsid w:val="004E2A5A"/>
    <w:rsid w:val="004E3C87"/>
    <w:rsid w:val="004E5502"/>
    <w:rsid w:val="004E6869"/>
    <w:rsid w:val="004E7482"/>
    <w:rsid w:val="004F2C88"/>
    <w:rsid w:val="004F48E5"/>
    <w:rsid w:val="004F51C0"/>
    <w:rsid w:val="004F5C93"/>
    <w:rsid w:val="005005EA"/>
    <w:rsid w:val="005132B1"/>
    <w:rsid w:val="0052106F"/>
    <w:rsid w:val="005239C0"/>
    <w:rsid w:val="0052766D"/>
    <w:rsid w:val="0053099C"/>
    <w:rsid w:val="00531790"/>
    <w:rsid w:val="00533ABE"/>
    <w:rsid w:val="00534BD3"/>
    <w:rsid w:val="0053582F"/>
    <w:rsid w:val="00535C99"/>
    <w:rsid w:val="0054092A"/>
    <w:rsid w:val="0054300C"/>
    <w:rsid w:val="00547210"/>
    <w:rsid w:val="00551240"/>
    <w:rsid w:val="005530C2"/>
    <w:rsid w:val="00553939"/>
    <w:rsid w:val="005547D0"/>
    <w:rsid w:val="0055638F"/>
    <w:rsid w:val="005620F7"/>
    <w:rsid w:val="005635BE"/>
    <w:rsid w:val="00564AD4"/>
    <w:rsid w:val="00564B80"/>
    <w:rsid w:val="00567270"/>
    <w:rsid w:val="00572E4A"/>
    <w:rsid w:val="005878EE"/>
    <w:rsid w:val="0059014A"/>
    <w:rsid w:val="00591E9B"/>
    <w:rsid w:val="0059376A"/>
    <w:rsid w:val="005A0CDC"/>
    <w:rsid w:val="005A149B"/>
    <w:rsid w:val="005A57D5"/>
    <w:rsid w:val="005B06AA"/>
    <w:rsid w:val="005B130D"/>
    <w:rsid w:val="005C10FD"/>
    <w:rsid w:val="005C4103"/>
    <w:rsid w:val="005D0EAE"/>
    <w:rsid w:val="005D28AA"/>
    <w:rsid w:val="005D2B81"/>
    <w:rsid w:val="005D4893"/>
    <w:rsid w:val="005D5293"/>
    <w:rsid w:val="005D5816"/>
    <w:rsid w:val="005D5C8D"/>
    <w:rsid w:val="005D62BA"/>
    <w:rsid w:val="005D7517"/>
    <w:rsid w:val="005E05C5"/>
    <w:rsid w:val="005E3B0F"/>
    <w:rsid w:val="005E40C2"/>
    <w:rsid w:val="005E501A"/>
    <w:rsid w:val="005F1E5D"/>
    <w:rsid w:val="005F1FE7"/>
    <w:rsid w:val="005F2165"/>
    <w:rsid w:val="005F3203"/>
    <w:rsid w:val="00603D8B"/>
    <w:rsid w:val="0060526C"/>
    <w:rsid w:val="00605BDD"/>
    <w:rsid w:val="006101A8"/>
    <w:rsid w:val="00611035"/>
    <w:rsid w:val="00612401"/>
    <w:rsid w:val="00617F03"/>
    <w:rsid w:val="0062464C"/>
    <w:rsid w:val="00627DCA"/>
    <w:rsid w:val="00632CBE"/>
    <w:rsid w:val="0063441C"/>
    <w:rsid w:val="00643CC8"/>
    <w:rsid w:val="006507C6"/>
    <w:rsid w:val="00651693"/>
    <w:rsid w:val="0066286D"/>
    <w:rsid w:val="00667D2A"/>
    <w:rsid w:val="006701B6"/>
    <w:rsid w:val="00671FF7"/>
    <w:rsid w:val="006735B2"/>
    <w:rsid w:val="006762FF"/>
    <w:rsid w:val="00677D9B"/>
    <w:rsid w:val="006840A3"/>
    <w:rsid w:val="00692E9B"/>
    <w:rsid w:val="006A0619"/>
    <w:rsid w:val="006A1F30"/>
    <w:rsid w:val="006A20CF"/>
    <w:rsid w:val="006A4050"/>
    <w:rsid w:val="006A5CFE"/>
    <w:rsid w:val="006A6D49"/>
    <w:rsid w:val="006B1C3F"/>
    <w:rsid w:val="006C2812"/>
    <w:rsid w:val="006C6512"/>
    <w:rsid w:val="006C78F1"/>
    <w:rsid w:val="006D00BA"/>
    <w:rsid w:val="006D2908"/>
    <w:rsid w:val="006D527F"/>
    <w:rsid w:val="006E6D10"/>
    <w:rsid w:val="006E7EAF"/>
    <w:rsid w:val="006F4C9F"/>
    <w:rsid w:val="0070220C"/>
    <w:rsid w:val="00706215"/>
    <w:rsid w:val="0072127A"/>
    <w:rsid w:val="00725941"/>
    <w:rsid w:val="00752273"/>
    <w:rsid w:val="007579B5"/>
    <w:rsid w:val="00763EA9"/>
    <w:rsid w:val="00770616"/>
    <w:rsid w:val="00771548"/>
    <w:rsid w:val="0078301F"/>
    <w:rsid w:val="00784279"/>
    <w:rsid w:val="007901CF"/>
    <w:rsid w:val="00790C2D"/>
    <w:rsid w:val="00790DBC"/>
    <w:rsid w:val="00791C1D"/>
    <w:rsid w:val="00796230"/>
    <w:rsid w:val="007A2877"/>
    <w:rsid w:val="007A43D1"/>
    <w:rsid w:val="007A7412"/>
    <w:rsid w:val="007A7736"/>
    <w:rsid w:val="007B4DDD"/>
    <w:rsid w:val="007C1FEB"/>
    <w:rsid w:val="007C5F84"/>
    <w:rsid w:val="007D21E9"/>
    <w:rsid w:val="007D4C5B"/>
    <w:rsid w:val="007D7429"/>
    <w:rsid w:val="007D7538"/>
    <w:rsid w:val="007E0698"/>
    <w:rsid w:val="007E44E6"/>
    <w:rsid w:val="007F663E"/>
    <w:rsid w:val="00806D7F"/>
    <w:rsid w:val="008107CB"/>
    <w:rsid w:val="00811E38"/>
    <w:rsid w:val="00812C08"/>
    <w:rsid w:val="00820A20"/>
    <w:rsid w:val="00823400"/>
    <w:rsid w:val="00825833"/>
    <w:rsid w:val="0083168E"/>
    <w:rsid w:val="00836801"/>
    <w:rsid w:val="00837487"/>
    <w:rsid w:val="00844CA8"/>
    <w:rsid w:val="00856519"/>
    <w:rsid w:val="00871233"/>
    <w:rsid w:val="0087290E"/>
    <w:rsid w:val="00872AF0"/>
    <w:rsid w:val="00875034"/>
    <w:rsid w:val="00875C37"/>
    <w:rsid w:val="008769DC"/>
    <w:rsid w:val="00882D19"/>
    <w:rsid w:val="00885C1E"/>
    <w:rsid w:val="00887D7A"/>
    <w:rsid w:val="008916FD"/>
    <w:rsid w:val="00892950"/>
    <w:rsid w:val="0089344D"/>
    <w:rsid w:val="008940F6"/>
    <w:rsid w:val="008B1243"/>
    <w:rsid w:val="008B36FE"/>
    <w:rsid w:val="008B69A5"/>
    <w:rsid w:val="008C280E"/>
    <w:rsid w:val="008C70D8"/>
    <w:rsid w:val="008C72C2"/>
    <w:rsid w:val="008C7386"/>
    <w:rsid w:val="008D0BC1"/>
    <w:rsid w:val="008D6410"/>
    <w:rsid w:val="008F2625"/>
    <w:rsid w:val="008F4AE2"/>
    <w:rsid w:val="008F5179"/>
    <w:rsid w:val="008F6455"/>
    <w:rsid w:val="008F6F06"/>
    <w:rsid w:val="00903E58"/>
    <w:rsid w:val="009063E2"/>
    <w:rsid w:val="00911B63"/>
    <w:rsid w:val="009126FC"/>
    <w:rsid w:val="0091465A"/>
    <w:rsid w:val="00914907"/>
    <w:rsid w:val="009230A4"/>
    <w:rsid w:val="00925703"/>
    <w:rsid w:val="009278FF"/>
    <w:rsid w:val="00927D8B"/>
    <w:rsid w:val="00943A94"/>
    <w:rsid w:val="009460B9"/>
    <w:rsid w:val="00955416"/>
    <w:rsid w:val="00955942"/>
    <w:rsid w:val="009676F5"/>
    <w:rsid w:val="00972B42"/>
    <w:rsid w:val="00975166"/>
    <w:rsid w:val="00984021"/>
    <w:rsid w:val="00991E0E"/>
    <w:rsid w:val="00994364"/>
    <w:rsid w:val="00997074"/>
    <w:rsid w:val="00997A1D"/>
    <w:rsid w:val="009A0D56"/>
    <w:rsid w:val="009A245A"/>
    <w:rsid w:val="009A39F4"/>
    <w:rsid w:val="009A62EE"/>
    <w:rsid w:val="009B3CF2"/>
    <w:rsid w:val="009B5792"/>
    <w:rsid w:val="009D2A89"/>
    <w:rsid w:val="009E4764"/>
    <w:rsid w:val="009E5030"/>
    <w:rsid w:val="009E522E"/>
    <w:rsid w:val="009F477E"/>
    <w:rsid w:val="009F4BCE"/>
    <w:rsid w:val="00A011FD"/>
    <w:rsid w:val="00A04038"/>
    <w:rsid w:val="00A07DE7"/>
    <w:rsid w:val="00A10B26"/>
    <w:rsid w:val="00A10F07"/>
    <w:rsid w:val="00A145E1"/>
    <w:rsid w:val="00A153E4"/>
    <w:rsid w:val="00A20855"/>
    <w:rsid w:val="00A23751"/>
    <w:rsid w:val="00A26180"/>
    <w:rsid w:val="00A30A2B"/>
    <w:rsid w:val="00A30D49"/>
    <w:rsid w:val="00A33130"/>
    <w:rsid w:val="00A53DFB"/>
    <w:rsid w:val="00A54750"/>
    <w:rsid w:val="00A76B18"/>
    <w:rsid w:val="00A817C9"/>
    <w:rsid w:val="00A94682"/>
    <w:rsid w:val="00A95A42"/>
    <w:rsid w:val="00A967B3"/>
    <w:rsid w:val="00AA02DE"/>
    <w:rsid w:val="00AA0DBF"/>
    <w:rsid w:val="00AA10B5"/>
    <w:rsid w:val="00AA1BF4"/>
    <w:rsid w:val="00AA2F9C"/>
    <w:rsid w:val="00AA3862"/>
    <w:rsid w:val="00AB0ACC"/>
    <w:rsid w:val="00AC38FA"/>
    <w:rsid w:val="00AD15DB"/>
    <w:rsid w:val="00AD2CEB"/>
    <w:rsid w:val="00AD30FA"/>
    <w:rsid w:val="00AD33B5"/>
    <w:rsid w:val="00AD4ECD"/>
    <w:rsid w:val="00AD60B2"/>
    <w:rsid w:val="00AD6C1D"/>
    <w:rsid w:val="00AE149C"/>
    <w:rsid w:val="00AE15E9"/>
    <w:rsid w:val="00AE33F6"/>
    <w:rsid w:val="00AF4E7A"/>
    <w:rsid w:val="00AF6E1A"/>
    <w:rsid w:val="00B12463"/>
    <w:rsid w:val="00B20F49"/>
    <w:rsid w:val="00B34155"/>
    <w:rsid w:val="00B41556"/>
    <w:rsid w:val="00B44C28"/>
    <w:rsid w:val="00B45FA1"/>
    <w:rsid w:val="00B50EF1"/>
    <w:rsid w:val="00B52818"/>
    <w:rsid w:val="00B54D91"/>
    <w:rsid w:val="00B669C4"/>
    <w:rsid w:val="00B6705A"/>
    <w:rsid w:val="00B71783"/>
    <w:rsid w:val="00B73D8E"/>
    <w:rsid w:val="00B742D6"/>
    <w:rsid w:val="00B84CC9"/>
    <w:rsid w:val="00B86B49"/>
    <w:rsid w:val="00B879E5"/>
    <w:rsid w:val="00BA06FD"/>
    <w:rsid w:val="00BA37C8"/>
    <w:rsid w:val="00BA386A"/>
    <w:rsid w:val="00BA3D62"/>
    <w:rsid w:val="00BA4C2A"/>
    <w:rsid w:val="00BA5FEF"/>
    <w:rsid w:val="00BA61C1"/>
    <w:rsid w:val="00BB4556"/>
    <w:rsid w:val="00BB571F"/>
    <w:rsid w:val="00BD2236"/>
    <w:rsid w:val="00BD5F1B"/>
    <w:rsid w:val="00BD7ED6"/>
    <w:rsid w:val="00BE04E1"/>
    <w:rsid w:val="00BE1569"/>
    <w:rsid w:val="00BE2DDA"/>
    <w:rsid w:val="00BE4422"/>
    <w:rsid w:val="00BF3D39"/>
    <w:rsid w:val="00BF59B3"/>
    <w:rsid w:val="00C00BBD"/>
    <w:rsid w:val="00C10AB9"/>
    <w:rsid w:val="00C1499E"/>
    <w:rsid w:val="00C1684F"/>
    <w:rsid w:val="00C217AB"/>
    <w:rsid w:val="00C3474F"/>
    <w:rsid w:val="00C4096D"/>
    <w:rsid w:val="00C512C4"/>
    <w:rsid w:val="00C53C58"/>
    <w:rsid w:val="00C6707E"/>
    <w:rsid w:val="00C71D71"/>
    <w:rsid w:val="00C7337F"/>
    <w:rsid w:val="00C76072"/>
    <w:rsid w:val="00C96839"/>
    <w:rsid w:val="00CA3696"/>
    <w:rsid w:val="00CA7E19"/>
    <w:rsid w:val="00CB17E0"/>
    <w:rsid w:val="00CB1AD2"/>
    <w:rsid w:val="00CC1146"/>
    <w:rsid w:val="00CC167B"/>
    <w:rsid w:val="00CC2C5B"/>
    <w:rsid w:val="00CC6D78"/>
    <w:rsid w:val="00CD1B54"/>
    <w:rsid w:val="00CD1E37"/>
    <w:rsid w:val="00CF5662"/>
    <w:rsid w:val="00D03089"/>
    <w:rsid w:val="00D065C2"/>
    <w:rsid w:val="00D07280"/>
    <w:rsid w:val="00D11AD4"/>
    <w:rsid w:val="00D11EE6"/>
    <w:rsid w:val="00D22AA5"/>
    <w:rsid w:val="00D31EDA"/>
    <w:rsid w:val="00D45A79"/>
    <w:rsid w:val="00D46020"/>
    <w:rsid w:val="00D56993"/>
    <w:rsid w:val="00D62032"/>
    <w:rsid w:val="00D634E8"/>
    <w:rsid w:val="00D70E5B"/>
    <w:rsid w:val="00D74845"/>
    <w:rsid w:val="00D74ABB"/>
    <w:rsid w:val="00D76990"/>
    <w:rsid w:val="00D7748C"/>
    <w:rsid w:val="00D80FEA"/>
    <w:rsid w:val="00D81362"/>
    <w:rsid w:val="00D83B58"/>
    <w:rsid w:val="00D84C78"/>
    <w:rsid w:val="00DA0297"/>
    <w:rsid w:val="00DA225D"/>
    <w:rsid w:val="00DA2C1B"/>
    <w:rsid w:val="00DB0B57"/>
    <w:rsid w:val="00DB2EB7"/>
    <w:rsid w:val="00DB7678"/>
    <w:rsid w:val="00DC3179"/>
    <w:rsid w:val="00DC402C"/>
    <w:rsid w:val="00DC6514"/>
    <w:rsid w:val="00DD4A47"/>
    <w:rsid w:val="00DD688D"/>
    <w:rsid w:val="00DD75E6"/>
    <w:rsid w:val="00DF196D"/>
    <w:rsid w:val="00E0024A"/>
    <w:rsid w:val="00E20B1C"/>
    <w:rsid w:val="00E20C99"/>
    <w:rsid w:val="00E21157"/>
    <w:rsid w:val="00E23C08"/>
    <w:rsid w:val="00E2575D"/>
    <w:rsid w:val="00E2770D"/>
    <w:rsid w:val="00E30051"/>
    <w:rsid w:val="00E31912"/>
    <w:rsid w:val="00E369C8"/>
    <w:rsid w:val="00E3794F"/>
    <w:rsid w:val="00E41FDC"/>
    <w:rsid w:val="00E4442A"/>
    <w:rsid w:val="00E46762"/>
    <w:rsid w:val="00E47EC7"/>
    <w:rsid w:val="00E51AE3"/>
    <w:rsid w:val="00E5317D"/>
    <w:rsid w:val="00E65643"/>
    <w:rsid w:val="00E70D4C"/>
    <w:rsid w:val="00E71BFA"/>
    <w:rsid w:val="00E7269B"/>
    <w:rsid w:val="00E72F2D"/>
    <w:rsid w:val="00E737E4"/>
    <w:rsid w:val="00E77F13"/>
    <w:rsid w:val="00E80ACF"/>
    <w:rsid w:val="00E932AD"/>
    <w:rsid w:val="00EA06EE"/>
    <w:rsid w:val="00EA62BD"/>
    <w:rsid w:val="00EB4F8F"/>
    <w:rsid w:val="00EB7238"/>
    <w:rsid w:val="00EC3C12"/>
    <w:rsid w:val="00ED2596"/>
    <w:rsid w:val="00EE250C"/>
    <w:rsid w:val="00EE46DC"/>
    <w:rsid w:val="00EF02DE"/>
    <w:rsid w:val="00EF5FB4"/>
    <w:rsid w:val="00EF602A"/>
    <w:rsid w:val="00EF749D"/>
    <w:rsid w:val="00F0229D"/>
    <w:rsid w:val="00F048A1"/>
    <w:rsid w:val="00F0500E"/>
    <w:rsid w:val="00F05E40"/>
    <w:rsid w:val="00F1435A"/>
    <w:rsid w:val="00F1559C"/>
    <w:rsid w:val="00F21E4F"/>
    <w:rsid w:val="00F22552"/>
    <w:rsid w:val="00F23A9C"/>
    <w:rsid w:val="00F3217A"/>
    <w:rsid w:val="00F37F95"/>
    <w:rsid w:val="00F46363"/>
    <w:rsid w:val="00F50573"/>
    <w:rsid w:val="00F52698"/>
    <w:rsid w:val="00F563EB"/>
    <w:rsid w:val="00F56C25"/>
    <w:rsid w:val="00F57605"/>
    <w:rsid w:val="00F57BF0"/>
    <w:rsid w:val="00F60C13"/>
    <w:rsid w:val="00F67F71"/>
    <w:rsid w:val="00F717E3"/>
    <w:rsid w:val="00F85E52"/>
    <w:rsid w:val="00F91552"/>
    <w:rsid w:val="00F969D9"/>
    <w:rsid w:val="00FA14C3"/>
    <w:rsid w:val="00FA1666"/>
    <w:rsid w:val="00FA1F5F"/>
    <w:rsid w:val="00FA4425"/>
    <w:rsid w:val="00FA5340"/>
    <w:rsid w:val="00FA5B72"/>
    <w:rsid w:val="00FB02EF"/>
    <w:rsid w:val="00FB6122"/>
    <w:rsid w:val="00FC0D84"/>
    <w:rsid w:val="00FC0F5A"/>
    <w:rsid w:val="00FC14E3"/>
    <w:rsid w:val="00FC73BE"/>
    <w:rsid w:val="00FD5B1E"/>
    <w:rsid w:val="00FD65FB"/>
    <w:rsid w:val="00FE1223"/>
    <w:rsid w:val="00FE3F34"/>
    <w:rsid w:val="00FE65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1C0A43"/>
  <w15:chartTrackingRefBased/>
  <w15:docId w15:val="{6145F1CF-CC39-4F74-A560-9F6877316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250C"/>
    <w:pPr>
      <w:spacing w:after="200" w:line="276" w:lineRule="auto"/>
    </w:pPr>
    <w:rPr>
      <w:rFonts w:ascii="Times New Roman" w:hAnsi="Times New Roman"/>
      <w:sz w:val="24"/>
      <w:szCs w:val="22"/>
    </w:rPr>
  </w:style>
  <w:style w:type="paragraph" w:styleId="Heading1">
    <w:name w:val="heading 1"/>
    <w:basedOn w:val="Normal"/>
    <w:link w:val="Heading1Char"/>
    <w:uiPriority w:val="9"/>
    <w:qFormat/>
    <w:rsid w:val="0055638F"/>
    <w:pPr>
      <w:jc w:val="center"/>
      <w:outlineLvl w:val="0"/>
    </w:pPr>
    <w:rPr>
      <w:b/>
      <w:color w:val="000000"/>
      <w:szCs w:val="24"/>
      <w:u w:val="single"/>
    </w:rPr>
  </w:style>
  <w:style w:type="paragraph" w:styleId="Heading2">
    <w:name w:val="heading 2"/>
    <w:basedOn w:val="Normal"/>
    <w:next w:val="Normal"/>
    <w:link w:val="Heading2Char"/>
    <w:uiPriority w:val="9"/>
    <w:unhideWhenUsed/>
    <w:qFormat/>
    <w:rsid w:val="0055638F"/>
    <w:pPr>
      <w:jc w:val="center"/>
      <w:outlineLvl w:val="1"/>
    </w:pPr>
    <w:rPr>
      <w:b/>
      <w:color w:val="000000"/>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0616"/>
    <w:pPr>
      <w:spacing w:after="0" w:line="240" w:lineRule="auto"/>
      <w:ind w:left="720"/>
    </w:pPr>
    <w:rPr>
      <w:rFonts w:cs="Calibri"/>
    </w:rPr>
  </w:style>
  <w:style w:type="paragraph" w:styleId="BalloonText">
    <w:name w:val="Balloon Text"/>
    <w:basedOn w:val="Normal"/>
    <w:link w:val="BalloonTextChar"/>
    <w:uiPriority w:val="99"/>
    <w:semiHidden/>
    <w:unhideWhenUsed/>
    <w:rsid w:val="00E5317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5317D"/>
    <w:rPr>
      <w:rFonts w:ascii="Tahoma" w:eastAsia="Calibri" w:hAnsi="Tahoma" w:cs="Tahoma"/>
      <w:sz w:val="16"/>
      <w:szCs w:val="16"/>
    </w:rPr>
  </w:style>
  <w:style w:type="character" w:styleId="CommentReference">
    <w:name w:val="annotation reference"/>
    <w:uiPriority w:val="99"/>
    <w:semiHidden/>
    <w:unhideWhenUsed/>
    <w:rsid w:val="000B74E1"/>
    <w:rPr>
      <w:sz w:val="16"/>
      <w:szCs w:val="16"/>
    </w:rPr>
  </w:style>
  <w:style w:type="paragraph" w:styleId="CommentText">
    <w:name w:val="annotation text"/>
    <w:basedOn w:val="Normal"/>
    <w:link w:val="CommentTextChar"/>
    <w:uiPriority w:val="99"/>
    <w:semiHidden/>
    <w:unhideWhenUsed/>
    <w:rsid w:val="000B74E1"/>
    <w:pPr>
      <w:spacing w:line="240" w:lineRule="auto"/>
    </w:pPr>
    <w:rPr>
      <w:sz w:val="20"/>
      <w:szCs w:val="20"/>
    </w:rPr>
  </w:style>
  <w:style w:type="character" w:customStyle="1" w:styleId="CommentTextChar">
    <w:name w:val="Comment Text Char"/>
    <w:link w:val="CommentText"/>
    <w:uiPriority w:val="99"/>
    <w:semiHidden/>
    <w:rsid w:val="000B74E1"/>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991E0E"/>
    <w:rPr>
      <w:b/>
      <w:bCs/>
    </w:rPr>
  </w:style>
  <w:style w:type="character" w:customStyle="1" w:styleId="CommentSubjectChar">
    <w:name w:val="Comment Subject Char"/>
    <w:link w:val="CommentSubject"/>
    <w:uiPriority w:val="99"/>
    <w:semiHidden/>
    <w:rsid w:val="00991E0E"/>
    <w:rPr>
      <w:rFonts w:ascii="Calibri" w:eastAsia="Calibri" w:hAnsi="Calibri" w:cs="Times New Roman"/>
      <w:b/>
      <w:bCs/>
      <w:sz w:val="20"/>
      <w:szCs w:val="20"/>
    </w:rPr>
  </w:style>
  <w:style w:type="character" w:styleId="Hyperlink">
    <w:name w:val="Hyperlink"/>
    <w:uiPriority w:val="99"/>
    <w:unhideWhenUsed/>
    <w:rsid w:val="0001760A"/>
    <w:rPr>
      <w:color w:val="0000FF"/>
      <w:u w:val="single"/>
    </w:rPr>
  </w:style>
  <w:style w:type="paragraph" w:styleId="Header">
    <w:name w:val="header"/>
    <w:basedOn w:val="Normal"/>
    <w:link w:val="HeaderChar"/>
    <w:uiPriority w:val="99"/>
    <w:unhideWhenUsed/>
    <w:rsid w:val="00F57605"/>
    <w:pPr>
      <w:tabs>
        <w:tab w:val="center" w:pos="4680"/>
        <w:tab w:val="right" w:pos="9360"/>
      </w:tabs>
      <w:spacing w:after="0" w:line="240" w:lineRule="auto"/>
    </w:pPr>
  </w:style>
  <w:style w:type="character" w:customStyle="1" w:styleId="HeaderChar">
    <w:name w:val="Header Char"/>
    <w:link w:val="Header"/>
    <w:uiPriority w:val="99"/>
    <w:rsid w:val="00F57605"/>
    <w:rPr>
      <w:rFonts w:ascii="Calibri" w:eastAsia="Calibri" w:hAnsi="Calibri" w:cs="Times New Roman"/>
    </w:rPr>
  </w:style>
  <w:style w:type="paragraph" w:styleId="Footer">
    <w:name w:val="footer"/>
    <w:basedOn w:val="Normal"/>
    <w:link w:val="FooterChar"/>
    <w:uiPriority w:val="99"/>
    <w:unhideWhenUsed/>
    <w:rsid w:val="00F57605"/>
    <w:pPr>
      <w:tabs>
        <w:tab w:val="center" w:pos="4680"/>
        <w:tab w:val="right" w:pos="9360"/>
      </w:tabs>
      <w:spacing w:after="0" w:line="240" w:lineRule="auto"/>
    </w:pPr>
  </w:style>
  <w:style w:type="character" w:customStyle="1" w:styleId="FooterChar">
    <w:name w:val="Footer Char"/>
    <w:link w:val="Footer"/>
    <w:uiPriority w:val="99"/>
    <w:rsid w:val="00F57605"/>
    <w:rPr>
      <w:rFonts w:ascii="Calibri" w:eastAsia="Calibri" w:hAnsi="Calibri" w:cs="Times New Roman"/>
    </w:rPr>
  </w:style>
  <w:style w:type="character" w:customStyle="1" w:styleId="Heading1Char">
    <w:name w:val="Heading 1 Char"/>
    <w:link w:val="Heading1"/>
    <w:uiPriority w:val="9"/>
    <w:rsid w:val="0055638F"/>
    <w:rPr>
      <w:rFonts w:ascii="Times New Roman" w:hAnsi="Times New Roman"/>
      <w:b/>
      <w:color w:val="000000"/>
      <w:sz w:val="24"/>
      <w:szCs w:val="24"/>
      <w:u w:val="single"/>
    </w:rPr>
  </w:style>
  <w:style w:type="character" w:customStyle="1" w:styleId="fm-role">
    <w:name w:val="fm-role"/>
    <w:basedOn w:val="DefaultParagraphFont"/>
    <w:rsid w:val="00CD1B54"/>
  </w:style>
  <w:style w:type="character" w:customStyle="1" w:styleId="Heading2Char">
    <w:name w:val="Heading 2 Char"/>
    <w:link w:val="Heading2"/>
    <w:uiPriority w:val="9"/>
    <w:rsid w:val="0055638F"/>
    <w:rPr>
      <w:rFonts w:ascii="Times New Roman" w:hAnsi="Times New Roman"/>
      <w:b/>
      <w:color w:val="000000"/>
      <w:sz w:val="24"/>
      <w:szCs w:val="24"/>
      <w:u w:val="single"/>
    </w:rPr>
  </w:style>
  <w:style w:type="character" w:styleId="Emphasis">
    <w:name w:val="Emphasis"/>
    <w:uiPriority w:val="20"/>
    <w:qFormat/>
    <w:rsid w:val="004010CC"/>
    <w:rPr>
      <w:rFonts w:ascii="Times New Roman" w:hAnsi="Times New Roman"/>
      <w:i/>
      <w:sz w:val="24"/>
      <w:szCs w:val="24"/>
    </w:rPr>
  </w:style>
  <w:style w:type="paragraph" w:styleId="Bibliography">
    <w:name w:val="Bibliography"/>
    <w:basedOn w:val="Normal"/>
    <w:next w:val="Normal"/>
    <w:uiPriority w:val="37"/>
    <w:unhideWhenUsed/>
    <w:rsid w:val="003C7CC3"/>
  </w:style>
  <w:style w:type="paragraph" w:styleId="Revision">
    <w:name w:val="Revision"/>
    <w:hidden/>
    <w:uiPriority w:val="99"/>
    <w:semiHidden/>
    <w:rsid w:val="003B24E3"/>
    <w:rPr>
      <w:rFonts w:ascii="Times New Roman" w:hAnsi="Times New Roman"/>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348626">
      <w:bodyDiv w:val="1"/>
      <w:marLeft w:val="0"/>
      <w:marRight w:val="0"/>
      <w:marTop w:val="0"/>
      <w:marBottom w:val="0"/>
      <w:divBdr>
        <w:top w:val="none" w:sz="0" w:space="0" w:color="auto"/>
        <w:left w:val="none" w:sz="0" w:space="0" w:color="auto"/>
        <w:bottom w:val="none" w:sz="0" w:space="0" w:color="auto"/>
        <w:right w:val="none" w:sz="0" w:space="0" w:color="auto"/>
      </w:divBdr>
    </w:div>
    <w:div w:id="316997781">
      <w:bodyDiv w:val="1"/>
      <w:marLeft w:val="0"/>
      <w:marRight w:val="0"/>
      <w:marTop w:val="0"/>
      <w:marBottom w:val="0"/>
      <w:divBdr>
        <w:top w:val="none" w:sz="0" w:space="0" w:color="auto"/>
        <w:left w:val="none" w:sz="0" w:space="0" w:color="auto"/>
        <w:bottom w:val="none" w:sz="0" w:space="0" w:color="auto"/>
        <w:right w:val="none" w:sz="0" w:space="0" w:color="auto"/>
      </w:divBdr>
      <w:divsChild>
        <w:div w:id="587540179">
          <w:marLeft w:val="0"/>
          <w:marRight w:val="0"/>
          <w:marTop w:val="0"/>
          <w:marBottom w:val="0"/>
          <w:divBdr>
            <w:top w:val="none" w:sz="0" w:space="0" w:color="auto"/>
            <w:left w:val="none" w:sz="0" w:space="0" w:color="auto"/>
            <w:bottom w:val="none" w:sz="0" w:space="0" w:color="auto"/>
            <w:right w:val="none" w:sz="0" w:space="0" w:color="auto"/>
          </w:divBdr>
          <w:divsChild>
            <w:div w:id="874730049">
              <w:marLeft w:val="0"/>
              <w:marRight w:val="0"/>
              <w:marTop w:val="0"/>
              <w:marBottom w:val="0"/>
              <w:divBdr>
                <w:top w:val="none" w:sz="0" w:space="0" w:color="auto"/>
                <w:left w:val="none" w:sz="0" w:space="0" w:color="auto"/>
                <w:bottom w:val="none" w:sz="0" w:space="0" w:color="auto"/>
                <w:right w:val="none" w:sz="0" w:space="0" w:color="auto"/>
              </w:divBdr>
              <w:divsChild>
                <w:div w:id="1089274171">
                  <w:marLeft w:val="0"/>
                  <w:marRight w:val="0"/>
                  <w:marTop w:val="0"/>
                  <w:marBottom w:val="0"/>
                  <w:divBdr>
                    <w:top w:val="none" w:sz="0" w:space="0" w:color="auto"/>
                    <w:left w:val="none" w:sz="0" w:space="0" w:color="auto"/>
                    <w:bottom w:val="none" w:sz="0" w:space="0" w:color="auto"/>
                    <w:right w:val="none" w:sz="0" w:space="0" w:color="auto"/>
                  </w:divBdr>
                  <w:divsChild>
                    <w:div w:id="1365210075">
                      <w:marLeft w:val="0"/>
                      <w:marRight w:val="0"/>
                      <w:marTop w:val="0"/>
                      <w:marBottom w:val="0"/>
                      <w:divBdr>
                        <w:top w:val="none" w:sz="0" w:space="0" w:color="auto"/>
                        <w:left w:val="none" w:sz="0" w:space="0" w:color="auto"/>
                        <w:bottom w:val="none" w:sz="0" w:space="0" w:color="auto"/>
                        <w:right w:val="none" w:sz="0" w:space="0" w:color="auto"/>
                      </w:divBdr>
                      <w:divsChild>
                        <w:div w:id="1326084843">
                          <w:marLeft w:val="0"/>
                          <w:marRight w:val="0"/>
                          <w:marTop w:val="0"/>
                          <w:marBottom w:val="0"/>
                          <w:divBdr>
                            <w:top w:val="none" w:sz="0" w:space="0" w:color="auto"/>
                            <w:left w:val="none" w:sz="0" w:space="0" w:color="auto"/>
                            <w:bottom w:val="none" w:sz="0" w:space="0" w:color="auto"/>
                            <w:right w:val="none" w:sz="0" w:space="0" w:color="auto"/>
                          </w:divBdr>
                          <w:divsChild>
                            <w:div w:id="2049406766">
                              <w:marLeft w:val="0"/>
                              <w:marRight w:val="0"/>
                              <w:marTop w:val="0"/>
                              <w:marBottom w:val="0"/>
                              <w:divBdr>
                                <w:top w:val="none" w:sz="0" w:space="0" w:color="auto"/>
                                <w:left w:val="none" w:sz="0" w:space="0" w:color="auto"/>
                                <w:bottom w:val="none" w:sz="0" w:space="0" w:color="auto"/>
                                <w:right w:val="none" w:sz="0" w:space="0" w:color="auto"/>
                              </w:divBdr>
                              <w:divsChild>
                                <w:div w:id="1330517891">
                                  <w:marLeft w:val="0"/>
                                  <w:marRight w:val="0"/>
                                  <w:marTop w:val="0"/>
                                  <w:marBottom w:val="0"/>
                                  <w:divBdr>
                                    <w:top w:val="none" w:sz="0" w:space="0" w:color="auto"/>
                                    <w:left w:val="none" w:sz="0" w:space="0" w:color="auto"/>
                                    <w:bottom w:val="none" w:sz="0" w:space="0" w:color="auto"/>
                                    <w:right w:val="none" w:sz="0" w:space="0" w:color="auto"/>
                                  </w:divBdr>
                                  <w:divsChild>
                                    <w:div w:id="210101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2707122">
      <w:bodyDiv w:val="1"/>
      <w:marLeft w:val="0"/>
      <w:marRight w:val="0"/>
      <w:marTop w:val="0"/>
      <w:marBottom w:val="0"/>
      <w:divBdr>
        <w:top w:val="none" w:sz="0" w:space="0" w:color="auto"/>
        <w:left w:val="none" w:sz="0" w:space="0" w:color="auto"/>
        <w:bottom w:val="none" w:sz="0" w:space="0" w:color="auto"/>
        <w:right w:val="none" w:sz="0" w:space="0" w:color="auto"/>
      </w:divBdr>
      <w:divsChild>
        <w:div w:id="948899028">
          <w:marLeft w:val="0"/>
          <w:marRight w:val="0"/>
          <w:marTop w:val="0"/>
          <w:marBottom w:val="0"/>
          <w:divBdr>
            <w:top w:val="none" w:sz="0" w:space="0" w:color="auto"/>
            <w:left w:val="none" w:sz="0" w:space="0" w:color="auto"/>
            <w:bottom w:val="none" w:sz="0" w:space="0" w:color="auto"/>
            <w:right w:val="none" w:sz="0" w:space="0" w:color="auto"/>
          </w:divBdr>
          <w:divsChild>
            <w:div w:id="50009304">
              <w:marLeft w:val="0"/>
              <w:marRight w:val="0"/>
              <w:marTop w:val="0"/>
              <w:marBottom w:val="0"/>
              <w:divBdr>
                <w:top w:val="none" w:sz="0" w:space="0" w:color="auto"/>
                <w:left w:val="none" w:sz="0" w:space="0" w:color="auto"/>
                <w:bottom w:val="none" w:sz="0" w:space="0" w:color="auto"/>
                <w:right w:val="none" w:sz="0" w:space="0" w:color="auto"/>
              </w:divBdr>
              <w:divsChild>
                <w:div w:id="408380820">
                  <w:marLeft w:val="0"/>
                  <w:marRight w:val="0"/>
                  <w:marTop w:val="0"/>
                  <w:marBottom w:val="0"/>
                  <w:divBdr>
                    <w:top w:val="none" w:sz="0" w:space="0" w:color="auto"/>
                    <w:left w:val="none" w:sz="0" w:space="0" w:color="auto"/>
                    <w:bottom w:val="none" w:sz="0" w:space="0" w:color="auto"/>
                    <w:right w:val="none" w:sz="0" w:space="0" w:color="auto"/>
                  </w:divBdr>
                  <w:divsChild>
                    <w:div w:id="1421095737">
                      <w:marLeft w:val="0"/>
                      <w:marRight w:val="0"/>
                      <w:marTop w:val="0"/>
                      <w:marBottom w:val="0"/>
                      <w:divBdr>
                        <w:top w:val="none" w:sz="0" w:space="0" w:color="auto"/>
                        <w:left w:val="none" w:sz="0" w:space="0" w:color="auto"/>
                        <w:bottom w:val="none" w:sz="0" w:space="0" w:color="auto"/>
                        <w:right w:val="none" w:sz="0" w:space="0" w:color="auto"/>
                      </w:divBdr>
                      <w:divsChild>
                        <w:div w:id="1796294396">
                          <w:marLeft w:val="0"/>
                          <w:marRight w:val="0"/>
                          <w:marTop w:val="0"/>
                          <w:marBottom w:val="0"/>
                          <w:divBdr>
                            <w:top w:val="none" w:sz="0" w:space="0" w:color="auto"/>
                            <w:left w:val="none" w:sz="0" w:space="0" w:color="auto"/>
                            <w:bottom w:val="none" w:sz="0" w:space="0" w:color="auto"/>
                            <w:right w:val="none" w:sz="0" w:space="0" w:color="auto"/>
                          </w:divBdr>
                          <w:divsChild>
                            <w:div w:id="761534682">
                              <w:marLeft w:val="0"/>
                              <w:marRight w:val="0"/>
                              <w:marTop w:val="0"/>
                              <w:marBottom w:val="0"/>
                              <w:divBdr>
                                <w:top w:val="none" w:sz="0" w:space="0" w:color="auto"/>
                                <w:left w:val="none" w:sz="0" w:space="0" w:color="auto"/>
                                <w:bottom w:val="none" w:sz="0" w:space="0" w:color="auto"/>
                                <w:right w:val="none" w:sz="0" w:space="0" w:color="auto"/>
                              </w:divBdr>
                              <w:divsChild>
                                <w:div w:id="967199790">
                                  <w:marLeft w:val="0"/>
                                  <w:marRight w:val="0"/>
                                  <w:marTop w:val="0"/>
                                  <w:marBottom w:val="0"/>
                                  <w:divBdr>
                                    <w:top w:val="none" w:sz="0" w:space="0" w:color="auto"/>
                                    <w:left w:val="none" w:sz="0" w:space="0" w:color="auto"/>
                                    <w:bottom w:val="none" w:sz="0" w:space="0" w:color="auto"/>
                                    <w:right w:val="none" w:sz="0" w:space="0" w:color="auto"/>
                                  </w:divBdr>
                                  <w:divsChild>
                                    <w:div w:id="886330409">
                                      <w:marLeft w:val="0"/>
                                      <w:marRight w:val="0"/>
                                      <w:marTop w:val="0"/>
                                      <w:marBottom w:val="0"/>
                                      <w:divBdr>
                                        <w:top w:val="none" w:sz="0" w:space="0" w:color="auto"/>
                                        <w:left w:val="none" w:sz="0" w:space="0" w:color="auto"/>
                                        <w:bottom w:val="none" w:sz="0" w:space="0" w:color="auto"/>
                                        <w:right w:val="none" w:sz="0" w:space="0" w:color="auto"/>
                                      </w:divBdr>
                                      <w:divsChild>
                                        <w:div w:id="295916765">
                                          <w:marLeft w:val="0"/>
                                          <w:marRight w:val="0"/>
                                          <w:marTop w:val="0"/>
                                          <w:marBottom w:val="0"/>
                                          <w:divBdr>
                                            <w:top w:val="none" w:sz="0" w:space="0" w:color="auto"/>
                                            <w:left w:val="none" w:sz="0" w:space="0" w:color="auto"/>
                                            <w:bottom w:val="none" w:sz="0" w:space="0" w:color="auto"/>
                                            <w:right w:val="none" w:sz="0" w:space="0" w:color="auto"/>
                                          </w:divBdr>
                                          <w:divsChild>
                                            <w:div w:id="649287656">
                                              <w:marLeft w:val="0"/>
                                              <w:marRight w:val="0"/>
                                              <w:marTop w:val="0"/>
                                              <w:marBottom w:val="0"/>
                                              <w:divBdr>
                                                <w:top w:val="none" w:sz="0" w:space="0" w:color="auto"/>
                                                <w:left w:val="none" w:sz="0" w:space="0" w:color="auto"/>
                                                <w:bottom w:val="none" w:sz="0" w:space="0" w:color="auto"/>
                                                <w:right w:val="none" w:sz="0" w:space="0" w:color="auto"/>
                                              </w:divBdr>
                                              <w:divsChild>
                                                <w:div w:id="1629823783">
                                                  <w:marLeft w:val="0"/>
                                                  <w:marRight w:val="0"/>
                                                  <w:marTop w:val="0"/>
                                                  <w:marBottom w:val="0"/>
                                                  <w:divBdr>
                                                    <w:top w:val="none" w:sz="0" w:space="0" w:color="auto"/>
                                                    <w:left w:val="none" w:sz="0" w:space="0" w:color="auto"/>
                                                    <w:bottom w:val="none" w:sz="0" w:space="0" w:color="auto"/>
                                                    <w:right w:val="none" w:sz="0" w:space="0" w:color="auto"/>
                                                  </w:divBdr>
                                                  <w:divsChild>
                                                    <w:div w:id="145767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93338445">
      <w:bodyDiv w:val="1"/>
      <w:marLeft w:val="0"/>
      <w:marRight w:val="0"/>
      <w:marTop w:val="0"/>
      <w:marBottom w:val="0"/>
      <w:divBdr>
        <w:top w:val="none" w:sz="0" w:space="0" w:color="auto"/>
        <w:left w:val="none" w:sz="0" w:space="0" w:color="auto"/>
        <w:bottom w:val="none" w:sz="0" w:space="0" w:color="auto"/>
        <w:right w:val="none" w:sz="0" w:space="0" w:color="auto"/>
      </w:divBdr>
    </w:div>
    <w:div w:id="1923875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DFFC73E1-A800-4BE1-A255-56D37D5E4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5</Pages>
  <Words>2026</Words>
  <Characters>11553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Instructions for Building “Possible Side Effects” Tables (Risk Lists) for Informed Consent Forms - Commercially Available Agents and Regimens</vt:lpstr>
    </vt:vector>
  </TitlesOfParts>
  <Company/>
  <LinksUpToDate>false</LinksUpToDate>
  <CharactersWithSpaces>13552</CharactersWithSpaces>
  <SharedDoc>false</SharedDoc>
  <HLinks>
    <vt:vector size="6" baseType="variant">
      <vt:variant>
        <vt:i4>6422638</vt:i4>
      </vt:variant>
      <vt:variant>
        <vt:i4>0</vt:i4>
      </vt:variant>
      <vt:variant>
        <vt:i4>0</vt:i4>
      </vt:variant>
      <vt:variant>
        <vt:i4>5</vt:i4>
      </vt:variant>
      <vt:variant>
        <vt:lpwstr>http://ctep.cancer.gov/protocolDevelopment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Building “Possible Side Effects” Tables (Risk Lists) for Informed Consent Forms - Commercially Available Agents and Regimens</dc:title>
  <dc:subject>Instructions for Building “Possible Side Effects” Tables (Risk Lists) for Informed Consent Forms - Commercially Available Agents and Regimens</dc:subject>
  <dc:creator>HHS/DCTD/CTEP</dc:creator>
  <cp:keywords>Instructions, Building, Possible Side Effects, Tables, Risk Lists, Informed Consent, Commercial, Commercially Available, Single Agents, Regimens, NCI, National Cancer Institute, Terms, Symptoms, Risk Term Library</cp:keywords>
  <cp:lastModifiedBy>Mishkin, Grace (NIH/NCI) [E]</cp:lastModifiedBy>
  <cp:revision>5</cp:revision>
  <cp:lastPrinted>2012-12-11T19:21:00Z</cp:lastPrinted>
  <dcterms:created xsi:type="dcterms:W3CDTF">2021-10-28T00:32:00Z</dcterms:created>
  <dcterms:modified xsi:type="dcterms:W3CDTF">2025-06-14T16:46:00Z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