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C784F" w14:textId="77777777" w:rsidR="00B6732F" w:rsidRDefault="00B6732F" w:rsidP="0002644D">
      <w:pPr>
        <w:widowControl w:val="0"/>
        <w:autoSpaceDE w:val="0"/>
        <w:autoSpaceDN w:val="0"/>
        <w:adjustRightInd w:val="0"/>
        <w:spacing w:after="0" w:line="240" w:lineRule="auto"/>
        <w:ind w:right="72"/>
        <w:rPr>
          <w:rFonts w:ascii="Arial" w:eastAsiaTheme="minorEastAsia" w:hAnsi="Arial" w:cs="Arial"/>
          <w:color w:val="000000"/>
          <w:sz w:val="30"/>
          <w:szCs w:val="30"/>
        </w:rPr>
      </w:pPr>
    </w:p>
    <w:p w14:paraId="6CD03AF9" w14:textId="77777777" w:rsidR="00B6732F" w:rsidRPr="009A53A2" w:rsidRDefault="00B6732F" w:rsidP="0002644D">
      <w:pPr>
        <w:widowControl w:val="0"/>
        <w:autoSpaceDE w:val="0"/>
        <w:autoSpaceDN w:val="0"/>
        <w:adjustRightInd w:val="0"/>
        <w:spacing w:after="0" w:line="240" w:lineRule="auto"/>
        <w:ind w:right="72"/>
        <w:rPr>
          <w:rFonts w:ascii="Arial" w:eastAsiaTheme="minorEastAsia" w:hAnsi="Arial" w:cs="Arial"/>
          <w:b/>
          <w:color w:val="000000"/>
          <w:sz w:val="28"/>
          <w:szCs w:val="28"/>
          <w:u w:val="single"/>
        </w:rPr>
      </w:pPr>
      <w:r w:rsidRPr="009A53A2">
        <w:rPr>
          <w:rFonts w:ascii="Arial" w:eastAsiaTheme="minorEastAsia" w:hAnsi="Arial" w:cs="Arial"/>
          <w:b/>
          <w:color w:val="000000"/>
          <w:sz w:val="28"/>
          <w:szCs w:val="28"/>
          <w:u w:val="single"/>
        </w:rPr>
        <w:t>Protocol Document</w:t>
      </w:r>
    </w:p>
    <w:p w14:paraId="0B735F37" w14:textId="77777777" w:rsidR="000560D9" w:rsidRDefault="000560D9" w:rsidP="000560D9">
      <w:pPr>
        <w:pStyle w:val="ListParagraph"/>
        <w:rPr>
          <w:rFonts w:ascii="Arial" w:hAnsi="Arial" w:cs="Arial"/>
        </w:rPr>
      </w:pPr>
    </w:p>
    <w:p w14:paraId="64188517" w14:textId="5C8FA539" w:rsidR="009A53A2" w:rsidRDefault="009A53A2" w:rsidP="000560D9">
      <w:pPr>
        <w:pStyle w:val="ListParagraph"/>
        <w:numPr>
          <w:ilvl w:val="0"/>
          <w:numId w:val="2"/>
        </w:numPr>
        <w:rPr>
          <w:rFonts w:ascii="Arial" w:hAnsi="Arial" w:cs="Arial"/>
        </w:rPr>
      </w:pPr>
      <w:r>
        <w:rPr>
          <w:rFonts w:ascii="Arial" w:hAnsi="Arial" w:cs="Arial"/>
        </w:rPr>
        <w:t xml:space="preserve">The protocol title page must clearly identify the </w:t>
      </w:r>
      <w:r w:rsidR="0057287C">
        <w:rPr>
          <w:rFonts w:ascii="Arial" w:hAnsi="Arial" w:cs="Arial"/>
        </w:rPr>
        <w:t xml:space="preserve">assigned NCI Formulary Protocol number, </w:t>
      </w:r>
      <w:r>
        <w:rPr>
          <w:rFonts w:ascii="Arial" w:hAnsi="Arial" w:cs="Arial"/>
        </w:rPr>
        <w:t xml:space="preserve">participating </w:t>
      </w:r>
      <w:r w:rsidR="0029243B">
        <w:rPr>
          <w:rFonts w:ascii="Arial" w:hAnsi="Arial" w:cs="Arial"/>
        </w:rPr>
        <w:t>institution</w:t>
      </w:r>
      <w:r>
        <w:rPr>
          <w:rFonts w:ascii="Arial" w:hAnsi="Arial" w:cs="Arial"/>
        </w:rPr>
        <w:t xml:space="preserve"> and NCI registered </w:t>
      </w:r>
      <w:r w:rsidR="001307EA">
        <w:rPr>
          <w:rFonts w:ascii="Arial" w:hAnsi="Arial" w:cs="Arial"/>
        </w:rPr>
        <w:t>Clinical Investigator and sub-investigators</w:t>
      </w:r>
      <w:r>
        <w:rPr>
          <w:rFonts w:ascii="Arial" w:hAnsi="Arial" w:cs="Arial"/>
        </w:rPr>
        <w:t xml:space="preserve"> (along with the CTEP site ID code and NCI Investigator registration number of all participants), the NCI Formulary agents included in the protocol, and the IND Number and IND sponsor for the protocol.  </w:t>
      </w:r>
    </w:p>
    <w:p w14:paraId="1BB6A178" w14:textId="77777777" w:rsidR="009A53A2" w:rsidRDefault="009A53A2" w:rsidP="009A53A2">
      <w:pPr>
        <w:pStyle w:val="ListParagraph"/>
        <w:ind w:left="360"/>
        <w:rPr>
          <w:rFonts w:ascii="Arial" w:hAnsi="Arial" w:cs="Arial"/>
        </w:rPr>
      </w:pPr>
    </w:p>
    <w:p w14:paraId="485D3177" w14:textId="77777777" w:rsidR="000560D9" w:rsidRDefault="00A55617" w:rsidP="000560D9">
      <w:pPr>
        <w:pStyle w:val="ListParagraph"/>
        <w:numPr>
          <w:ilvl w:val="0"/>
          <w:numId w:val="2"/>
        </w:numPr>
        <w:rPr>
          <w:rFonts w:ascii="Arial" w:hAnsi="Arial" w:cs="Arial"/>
        </w:rPr>
      </w:pPr>
      <w:r w:rsidRPr="000560D9">
        <w:rPr>
          <w:rFonts w:ascii="Arial" w:hAnsi="Arial" w:cs="Arial"/>
        </w:rPr>
        <w:t>The pro</w:t>
      </w:r>
      <w:r w:rsidR="00247320">
        <w:rPr>
          <w:rFonts w:ascii="Arial" w:hAnsi="Arial" w:cs="Arial"/>
        </w:rPr>
        <w:t>tocol must contain instructions for research personnel registration with CTEP/NCI</w:t>
      </w:r>
      <w:r w:rsidR="001307EA">
        <w:rPr>
          <w:rFonts w:ascii="Arial" w:hAnsi="Arial" w:cs="Arial"/>
        </w:rPr>
        <w:t xml:space="preserve"> for the purposes of trial conduct</w:t>
      </w:r>
      <w:r w:rsidR="00247320">
        <w:rPr>
          <w:rFonts w:ascii="Arial" w:hAnsi="Arial" w:cs="Arial"/>
        </w:rPr>
        <w:t xml:space="preserve">: </w:t>
      </w:r>
    </w:p>
    <w:p w14:paraId="3A3F76E6" w14:textId="77777777" w:rsidR="000560D9" w:rsidRDefault="000560D9" w:rsidP="009C771B">
      <w:pPr>
        <w:spacing w:after="0" w:line="240" w:lineRule="auto"/>
        <w:rPr>
          <w:rFonts w:ascii="Arial" w:hAnsi="Arial" w:cs="Arial"/>
        </w:rPr>
      </w:pPr>
    </w:p>
    <w:p w14:paraId="2FC13923" w14:textId="77777777" w:rsidR="00247320" w:rsidRPr="00247320" w:rsidRDefault="00247320" w:rsidP="00A01675">
      <w:pPr>
        <w:pStyle w:val="Heading1"/>
        <w:numPr>
          <w:ilvl w:val="0"/>
          <w:numId w:val="0"/>
        </w:numPr>
        <w:ind w:left="720" w:hanging="360"/>
        <w:rPr>
          <w:rFonts w:ascii="Arial" w:hAnsi="Arial" w:cs="Arial"/>
        </w:rPr>
      </w:pPr>
      <w:bookmarkStart w:id="0" w:name="_Toc318813006"/>
      <w:bookmarkStart w:id="1" w:name="_Toc449687154"/>
      <w:r w:rsidRPr="00247320">
        <w:rPr>
          <w:rFonts w:ascii="Arial" w:hAnsi="Arial" w:cs="Arial"/>
        </w:rPr>
        <w:t>REGISTRATION PROCEDURES</w:t>
      </w:r>
      <w:bookmarkEnd w:id="0"/>
      <w:bookmarkEnd w:id="1"/>
    </w:p>
    <w:p w14:paraId="22B9B68E" w14:textId="77777777" w:rsidR="00247320" w:rsidRPr="00247320" w:rsidRDefault="00247320" w:rsidP="00A01675">
      <w:pPr>
        <w:pStyle w:val="Heading2"/>
        <w:numPr>
          <w:ilvl w:val="0"/>
          <w:numId w:val="0"/>
        </w:numPr>
        <w:ind w:left="1080" w:hanging="360"/>
        <w:rPr>
          <w:rFonts w:ascii="Arial" w:hAnsi="Arial" w:cs="Arial"/>
        </w:rPr>
      </w:pPr>
      <w:bookmarkStart w:id="2" w:name="_Toc449687155"/>
    </w:p>
    <w:p w14:paraId="499D19F6" w14:textId="77777777" w:rsidR="00247320" w:rsidRPr="00247320" w:rsidRDefault="00247320" w:rsidP="00A01675">
      <w:pPr>
        <w:pStyle w:val="Heading2"/>
        <w:numPr>
          <w:ilvl w:val="0"/>
          <w:numId w:val="0"/>
        </w:numPr>
        <w:ind w:left="1080" w:hanging="720"/>
        <w:rPr>
          <w:rFonts w:ascii="Arial" w:hAnsi="Arial" w:cs="Arial"/>
        </w:rPr>
      </w:pPr>
      <w:r w:rsidRPr="00247320">
        <w:rPr>
          <w:rFonts w:ascii="Arial" w:hAnsi="Arial" w:cs="Arial"/>
        </w:rPr>
        <w:t>Investigator and Research Associate Registration with CTEP</w:t>
      </w:r>
      <w:bookmarkEnd w:id="2"/>
    </w:p>
    <w:p w14:paraId="2AF9CAEF" w14:textId="77777777" w:rsidR="00247320" w:rsidRPr="00247320" w:rsidRDefault="00247320" w:rsidP="00A01675">
      <w:pPr>
        <w:spacing w:after="0" w:line="240" w:lineRule="auto"/>
        <w:ind w:left="360"/>
        <w:rPr>
          <w:rFonts w:ascii="Arial" w:hAnsi="Arial" w:cs="Arial"/>
        </w:rPr>
      </w:pPr>
    </w:p>
    <w:p w14:paraId="4BEB0120" w14:textId="77777777" w:rsidR="00247320" w:rsidRPr="009C771B" w:rsidRDefault="00247320" w:rsidP="00A01675">
      <w:pPr>
        <w:spacing w:after="0"/>
        <w:ind w:left="360"/>
        <w:rPr>
          <w:rFonts w:ascii="Arial" w:hAnsi="Arial" w:cs="Arial"/>
          <w:u w:val="single"/>
        </w:rPr>
      </w:pPr>
      <w:r w:rsidRPr="009C771B">
        <w:rPr>
          <w:rFonts w:ascii="Arial" w:hAnsi="Arial" w:cs="Arial"/>
          <w:u w:val="single"/>
        </w:rPr>
        <w:t xml:space="preserve">CTEP </w:t>
      </w:r>
      <w:r w:rsidR="007F0733" w:rsidRPr="009C771B">
        <w:rPr>
          <w:rFonts w:ascii="Arial" w:hAnsi="Arial" w:cs="Arial"/>
          <w:u w:val="single"/>
        </w:rPr>
        <w:t xml:space="preserve">Physician Investigator </w:t>
      </w:r>
      <w:r w:rsidRPr="009C771B">
        <w:rPr>
          <w:rFonts w:ascii="Arial" w:hAnsi="Arial" w:cs="Arial"/>
          <w:u w:val="single"/>
        </w:rPr>
        <w:t>Registration Procedures</w:t>
      </w:r>
    </w:p>
    <w:p w14:paraId="1196FB59" w14:textId="77777777" w:rsidR="00247320" w:rsidRPr="00247320" w:rsidRDefault="00247320" w:rsidP="00A01675">
      <w:pPr>
        <w:suppressAutoHyphens/>
        <w:spacing w:after="0" w:line="240" w:lineRule="auto"/>
        <w:ind w:left="1080" w:right="-60"/>
        <w:rPr>
          <w:rFonts w:ascii="Arial" w:hAnsi="Arial" w:cs="Arial"/>
        </w:rPr>
      </w:pPr>
    </w:p>
    <w:p w14:paraId="68354D30" w14:textId="77777777" w:rsidR="00247320" w:rsidRPr="00247320" w:rsidRDefault="0029243B" w:rsidP="00A01675">
      <w:pPr>
        <w:suppressAutoHyphens/>
        <w:spacing w:after="0" w:line="240" w:lineRule="auto"/>
        <w:ind w:left="360" w:right="-60"/>
        <w:rPr>
          <w:rFonts w:ascii="Arial" w:hAnsi="Arial" w:cs="Arial"/>
        </w:rPr>
      </w:pPr>
      <w:r w:rsidRPr="0029243B">
        <w:rPr>
          <w:rFonts w:ascii="Arial" w:hAnsi="Arial" w:cs="Arial"/>
        </w:rPr>
        <w:t>Food and Drug Administration (FDA) regulations require IND sponsors to select qualified</w:t>
      </w:r>
      <w:r w:rsidRPr="004B5100">
        <w:t xml:space="preserve"> </w:t>
      </w:r>
      <w:r w:rsidRPr="0029243B">
        <w:rPr>
          <w:rFonts w:ascii="Arial" w:hAnsi="Arial" w:cs="Arial"/>
        </w:rPr>
        <w:t>investigators.</w:t>
      </w:r>
      <w:r>
        <w:rPr>
          <w:rFonts w:ascii="Arial" w:hAnsi="Arial" w:cs="Arial"/>
        </w:rPr>
        <w:t xml:space="preserve"> </w:t>
      </w:r>
      <w:r w:rsidR="00C06294">
        <w:rPr>
          <w:rFonts w:ascii="Arial" w:hAnsi="Arial" w:cs="Arial"/>
        </w:rPr>
        <w:t xml:space="preserve">In accordance with current </w:t>
      </w:r>
      <w:r w:rsidR="00247320" w:rsidRPr="00247320">
        <w:rPr>
          <w:rFonts w:ascii="Arial" w:hAnsi="Arial" w:cs="Arial"/>
        </w:rPr>
        <w:t>National Cancer Institute (NCI) policy</w:t>
      </w:r>
      <w:r w:rsidR="007F0733">
        <w:rPr>
          <w:rFonts w:ascii="Arial" w:hAnsi="Arial" w:cs="Arial"/>
        </w:rPr>
        <w:t>, a</w:t>
      </w:r>
      <w:r w:rsidR="00247320" w:rsidRPr="00247320">
        <w:rPr>
          <w:rFonts w:ascii="Arial" w:hAnsi="Arial" w:cs="Arial"/>
        </w:rPr>
        <w:t xml:space="preserve">ll </w:t>
      </w:r>
      <w:r w:rsidR="007F0733">
        <w:rPr>
          <w:rFonts w:ascii="Arial" w:hAnsi="Arial" w:cs="Arial"/>
        </w:rPr>
        <w:t xml:space="preserve">participating physician </w:t>
      </w:r>
      <w:r w:rsidR="00247320" w:rsidRPr="00247320">
        <w:rPr>
          <w:rFonts w:ascii="Arial" w:hAnsi="Arial" w:cs="Arial"/>
        </w:rPr>
        <w:t xml:space="preserve">investigators </w:t>
      </w:r>
      <w:r>
        <w:rPr>
          <w:rFonts w:ascii="Arial" w:hAnsi="Arial" w:cs="Arial"/>
        </w:rPr>
        <w:t xml:space="preserve">and sub-investigators </w:t>
      </w:r>
      <w:r w:rsidR="007F0733">
        <w:rPr>
          <w:rFonts w:ascii="Arial" w:hAnsi="Arial" w:cs="Arial"/>
        </w:rPr>
        <w:t xml:space="preserve">must </w:t>
      </w:r>
      <w:r w:rsidR="00247320" w:rsidRPr="00247320">
        <w:rPr>
          <w:rFonts w:ascii="Arial" w:hAnsi="Arial" w:cs="Arial"/>
        </w:rPr>
        <w:t>register and renew their registration annually.</w:t>
      </w:r>
    </w:p>
    <w:p w14:paraId="5FDF0BB1" w14:textId="77777777" w:rsidR="009C771B" w:rsidRDefault="009C771B" w:rsidP="00A01675">
      <w:pPr>
        <w:suppressAutoHyphens/>
        <w:spacing w:after="0" w:line="240" w:lineRule="auto"/>
        <w:ind w:left="360" w:right="-60"/>
        <w:rPr>
          <w:rFonts w:ascii="Arial" w:hAnsi="Arial" w:cs="Arial"/>
        </w:rPr>
      </w:pPr>
    </w:p>
    <w:p w14:paraId="250DF3DC" w14:textId="77777777" w:rsidR="00D13F11" w:rsidRPr="00D13F11" w:rsidRDefault="00D13F11" w:rsidP="00D13F11">
      <w:pPr>
        <w:suppressAutoHyphens/>
        <w:ind w:left="360"/>
        <w:rPr>
          <w:rFonts w:ascii="Arial" w:hAnsi="Arial" w:cs="Arial"/>
        </w:rPr>
      </w:pPr>
      <w:r w:rsidRPr="00D13F11">
        <w:rPr>
          <w:rFonts w:ascii="Arial" w:hAnsi="Arial" w:cs="Arial"/>
        </w:rPr>
        <w:t>To register, all individuals must obtain Cancer Therapy Evaluation Program (CTEP) credentials necessary to access secure NCI Clinical Oncology Research Enterprise (CORE) systems.</w:t>
      </w:r>
      <w:r w:rsidR="0029243B" w:rsidRPr="00D13F11">
        <w:rPr>
          <w:rFonts w:ascii="Arial" w:hAnsi="Arial" w:cs="Arial"/>
        </w:rPr>
        <w:t xml:space="preserve">  </w:t>
      </w:r>
      <w:r w:rsidRPr="00D13F11">
        <w:rPr>
          <w:rFonts w:ascii="Arial" w:hAnsi="Arial" w:cs="Arial"/>
        </w:rPr>
        <w:t xml:space="preserve">Investigators and clinical site staff who are significant contributors to research must register in the Registration and Credential Repository (RCR) at </w:t>
      </w:r>
      <w:hyperlink r:id="rId7" w:history="1">
        <w:r w:rsidRPr="00D13F11">
          <w:rPr>
            <w:rStyle w:val="Hyperlink"/>
            <w:rFonts w:ascii="Arial" w:hAnsi="Arial" w:cs="Arial"/>
          </w:rPr>
          <w:t>https://ctepcore.nci.nih.gov/rcr/</w:t>
        </w:r>
      </w:hyperlink>
      <w:r w:rsidRPr="00D13F11">
        <w:rPr>
          <w:rFonts w:ascii="Arial" w:hAnsi="Arial" w:cs="Arial"/>
        </w:rPr>
        <w:t>. The RCR is a self-service online person registration application with electronic signature and document submission capability.</w:t>
      </w:r>
    </w:p>
    <w:p w14:paraId="0AD07CAA" w14:textId="2350F266" w:rsidR="0029243B" w:rsidRPr="0029243B" w:rsidRDefault="0029243B" w:rsidP="0029243B">
      <w:pPr>
        <w:ind w:left="360"/>
        <w:rPr>
          <w:rFonts w:ascii="Arial" w:hAnsi="Arial" w:cs="Arial"/>
        </w:rPr>
      </w:pPr>
      <w:r w:rsidRPr="0029243B">
        <w:rPr>
          <w:rFonts w:ascii="Arial" w:hAnsi="Arial" w:cs="Arial"/>
        </w:rPr>
        <w:t xml:space="preserve"> Documentation requirements per registration type are outlined in the table below.</w:t>
      </w:r>
    </w:p>
    <w:tbl>
      <w:tblPr>
        <w:tblW w:w="0" w:type="auto"/>
        <w:tblInd w:w="504" w:type="dxa"/>
        <w:tblCellMar>
          <w:left w:w="0" w:type="dxa"/>
          <w:right w:w="0" w:type="dxa"/>
        </w:tblCellMar>
        <w:tblLook w:val="0420" w:firstRow="1" w:lastRow="0" w:firstColumn="0" w:lastColumn="0" w:noHBand="0" w:noVBand="1"/>
      </w:tblPr>
      <w:tblGrid>
        <w:gridCol w:w="4571"/>
        <w:gridCol w:w="895"/>
        <w:gridCol w:w="988"/>
        <w:gridCol w:w="806"/>
        <w:gridCol w:w="1576"/>
      </w:tblGrid>
      <w:tr w:rsidR="0029243B" w:rsidRPr="00E52CC0" w14:paraId="16699FD3" w14:textId="77777777" w:rsidTr="0029243B">
        <w:trPr>
          <w:trHeight w:val="432"/>
          <w:tblHeader/>
        </w:trPr>
        <w:tc>
          <w:tcPr>
            <w:tcW w:w="4616" w:type="dxa"/>
            <w:tcBorders>
              <w:top w:val="single" w:sz="8" w:space="0" w:color="2A71A5"/>
              <w:left w:val="single" w:sz="8" w:space="0" w:color="2A71A5"/>
              <w:bottom w:val="single" w:sz="18" w:space="0" w:color="2A71A5"/>
              <w:right w:val="single" w:sz="8" w:space="0" w:color="2A71A5"/>
            </w:tcBorders>
            <w:shd w:val="clear" w:color="auto" w:fill="auto"/>
            <w:tcMar>
              <w:top w:w="72" w:type="dxa"/>
              <w:left w:w="144" w:type="dxa"/>
              <w:bottom w:w="72" w:type="dxa"/>
              <w:right w:w="144" w:type="dxa"/>
            </w:tcMar>
            <w:vAlign w:val="center"/>
            <w:hideMark/>
          </w:tcPr>
          <w:p w14:paraId="7B4B46CB" w14:textId="77777777" w:rsidR="0029243B" w:rsidRPr="00884A13" w:rsidRDefault="0029243B" w:rsidP="00DA3133">
            <w:pPr>
              <w:suppressAutoHyphens/>
              <w:ind w:right="-58"/>
            </w:pPr>
            <w:r w:rsidRPr="00884A13">
              <w:rPr>
                <w:b/>
                <w:bCs/>
              </w:rPr>
              <w:t>Documentation Required</w:t>
            </w:r>
          </w:p>
        </w:tc>
        <w:tc>
          <w:tcPr>
            <w:tcW w:w="900" w:type="dxa"/>
            <w:tcBorders>
              <w:top w:val="single" w:sz="8" w:space="0" w:color="2A71A5"/>
              <w:left w:val="single" w:sz="8" w:space="0" w:color="2A71A5"/>
              <w:bottom w:val="single" w:sz="18" w:space="0" w:color="2A71A5"/>
              <w:right w:val="single" w:sz="8" w:space="0" w:color="2A71A5"/>
            </w:tcBorders>
            <w:shd w:val="clear" w:color="auto" w:fill="auto"/>
            <w:tcMar>
              <w:top w:w="72" w:type="dxa"/>
              <w:left w:w="144" w:type="dxa"/>
              <w:bottom w:w="72" w:type="dxa"/>
              <w:right w:w="144" w:type="dxa"/>
            </w:tcMar>
            <w:vAlign w:val="center"/>
            <w:hideMark/>
          </w:tcPr>
          <w:p w14:paraId="11E7CD10" w14:textId="77777777" w:rsidR="0029243B" w:rsidRPr="00884A13" w:rsidRDefault="0029243B" w:rsidP="00DA3133">
            <w:pPr>
              <w:suppressAutoHyphens/>
              <w:ind w:right="-58"/>
            </w:pPr>
            <w:r w:rsidRPr="00884A13">
              <w:rPr>
                <w:b/>
                <w:bCs/>
              </w:rPr>
              <w:t>IVR</w:t>
            </w:r>
          </w:p>
        </w:tc>
        <w:tc>
          <w:tcPr>
            <w:tcW w:w="990" w:type="dxa"/>
            <w:tcBorders>
              <w:top w:val="single" w:sz="8" w:space="0" w:color="2A71A5"/>
              <w:left w:val="single" w:sz="8" w:space="0" w:color="2A71A5"/>
              <w:bottom w:val="single" w:sz="18" w:space="0" w:color="2A71A5"/>
              <w:right w:val="single" w:sz="8" w:space="0" w:color="2A71A5"/>
            </w:tcBorders>
            <w:shd w:val="clear" w:color="auto" w:fill="auto"/>
            <w:tcMar>
              <w:top w:w="72" w:type="dxa"/>
              <w:left w:w="144" w:type="dxa"/>
              <w:bottom w:w="72" w:type="dxa"/>
              <w:right w:w="144" w:type="dxa"/>
            </w:tcMar>
            <w:vAlign w:val="center"/>
            <w:hideMark/>
          </w:tcPr>
          <w:p w14:paraId="04B2A746" w14:textId="77777777" w:rsidR="0029243B" w:rsidRPr="00884A13" w:rsidRDefault="0029243B" w:rsidP="00DA3133">
            <w:pPr>
              <w:suppressAutoHyphens/>
              <w:ind w:right="-58"/>
            </w:pPr>
            <w:r w:rsidRPr="00884A13">
              <w:rPr>
                <w:b/>
                <w:bCs/>
              </w:rPr>
              <w:t>NPIVR</w:t>
            </w:r>
          </w:p>
        </w:tc>
        <w:tc>
          <w:tcPr>
            <w:tcW w:w="810" w:type="dxa"/>
            <w:tcBorders>
              <w:top w:val="single" w:sz="8" w:space="0" w:color="2A71A5"/>
              <w:left w:val="single" w:sz="8" w:space="0" w:color="2A71A5"/>
              <w:bottom w:val="single" w:sz="18" w:space="0" w:color="2A71A5"/>
              <w:right w:val="single" w:sz="8" w:space="0" w:color="2A71A5"/>
            </w:tcBorders>
            <w:shd w:val="clear" w:color="auto" w:fill="auto"/>
            <w:tcMar>
              <w:top w:w="72" w:type="dxa"/>
              <w:left w:w="144" w:type="dxa"/>
              <w:bottom w:w="72" w:type="dxa"/>
              <w:right w:w="144" w:type="dxa"/>
            </w:tcMar>
            <w:vAlign w:val="center"/>
            <w:hideMark/>
          </w:tcPr>
          <w:p w14:paraId="54C7CE58" w14:textId="77777777" w:rsidR="0029243B" w:rsidRPr="00884A13" w:rsidRDefault="0029243B" w:rsidP="00DA3133">
            <w:pPr>
              <w:suppressAutoHyphens/>
              <w:ind w:right="-58"/>
            </w:pPr>
            <w:r w:rsidRPr="00884A13">
              <w:rPr>
                <w:b/>
                <w:bCs/>
              </w:rPr>
              <w:t>AP</w:t>
            </w:r>
          </w:p>
        </w:tc>
        <w:tc>
          <w:tcPr>
            <w:tcW w:w="1594" w:type="dxa"/>
            <w:tcBorders>
              <w:top w:val="single" w:sz="8" w:space="0" w:color="2A71A5"/>
              <w:left w:val="single" w:sz="8" w:space="0" w:color="2A71A5"/>
              <w:bottom w:val="single" w:sz="18" w:space="0" w:color="2A71A5"/>
              <w:right w:val="single" w:sz="8" w:space="0" w:color="2A71A5"/>
            </w:tcBorders>
            <w:shd w:val="clear" w:color="auto" w:fill="auto"/>
            <w:tcMar>
              <w:top w:w="72" w:type="dxa"/>
              <w:left w:w="144" w:type="dxa"/>
              <w:bottom w:w="72" w:type="dxa"/>
              <w:right w:w="144" w:type="dxa"/>
            </w:tcMar>
            <w:vAlign w:val="center"/>
            <w:hideMark/>
          </w:tcPr>
          <w:p w14:paraId="1043DC5D" w14:textId="77777777" w:rsidR="0029243B" w:rsidRPr="00884A13" w:rsidRDefault="0029243B" w:rsidP="00DA3133">
            <w:pPr>
              <w:suppressAutoHyphens/>
              <w:ind w:right="-58"/>
            </w:pPr>
            <w:r w:rsidRPr="00884A13">
              <w:rPr>
                <w:b/>
                <w:bCs/>
              </w:rPr>
              <w:t>A</w:t>
            </w:r>
          </w:p>
        </w:tc>
      </w:tr>
      <w:tr w:rsidR="0029243B" w:rsidRPr="009F3BB6" w14:paraId="39D9F868" w14:textId="77777777" w:rsidTr="0029243B">
        <w:trPr>
          <w:trHeight w:val="432"/>
        </w:trPr>
        <w:tc>
          <w:tcPr>
            <w:tcW w:w="4616" w:type="dxa"/>
            <w:tcBorders>
              <w:top w:val="single" w:sz="18" w:space="0" w:color="2A71A5"/>
              <w:left w:val="single" w:sz="8" w:space="0" w:color="2A71A5"/>
              <w:bottom w:val="single" w:sz="8" w:space="0" w:color="2A71A5"/>
              <w:right w:val="single" w:sz="8" w:space="0" w:color="2A71A5"/>
            </w:tcBorders>
            <w:shd w:val="clear" w:color="auto" w:fill="E8EBF0"/>
            <w:tcMar>
              <w:top w:w="72" w:type="dxa"/>
              <w:left w:w="144" w:type="dxa"/>
              <w:bottom w:w="72" w:type="dxa"/>
              <w:right w:w="144" w:type="dxa"/>
            </w:tcMar>
            <w:vAlign w:val="center"/>
            <w:hideMark/>
          </w:tcPr>
          <w:p w14:paraId="6D25126E" w14:textId="77777777" w:rsidR="0029243B" w:rsidRPr="00884A13" w:rsidRDefault="0029243B" w:rsidP="00DA3133">
            <w:pPr>
              <w:suppressAutoHyphens/>
              <w:ind w:right="-58"/>
            </w:pPr>
            <w:r w:rsidRPr="00884A13">
              <w:t>FDA Form 1572</w:t>
            </w:r>
          </w:p>
        </w:tc>
        <w:tc>
          <w:tcPr>
            <w:tcW w:w="900" w:type="dxa"/>
            <w:tcBorders>
              <w:top w:val="single" w:sz="18" w:space="0" w:color="2A71A5"/>
              <w:left w:val="single" w:sz="8" w:space="0" w:color="2A71A5"/>
              <w:bottom w:val="single" w:sz="8" w:space="0" w:color="2A71A5"/>
              <w:right w:val="single" w:sz="8" w:space="0" w:color="2A71A5"/>
            </w:tcBorders>
            <w:shd w:val="clear" w:color="auto" w:fill="E8EBF0"/>
            <w:tcMar>
              <w:top w:w="72" w:type="dxa"/>
              <w:left w:w="144" w:type="dxa"/>
              <w:bottom w:w="72" w:type="dxa"/>
              <w:right w:w="144" w:type="dxa"/>
            </w:tcMar>
            <w:vAlign w:val="center"/>
            <w:hideMark/>
          </w:tcPr>
          <w:p w14:paraId="4240E951" w14:textId="77777777" w:rsidR="0029243B" w:rsidRPr="00884A13" w:rsidRDefault="0029243B" w:rsidP="00DA3133">
            <w:pPr>
              <w:suppressAutoHyphens/>
              <w:ind w:right="-58"/>
            </w:pPr>
            <w:r w:rsidRPr="00884A13">
              <w:sym w:font="Webdings" w:char="F061"/>
            </w:r>
          </w:p>
        </w:tc>
        <w:tc>
          <w:tcPr>
            <w:tcW w:w="990" w:type="dxa"/>
            <w:tcBorders>
              <w:top w:val="single" w:sz="18" w:space="0" w:color="2A71A5"/>
              <w:left w:val="single" w:sz="8" w:space="0" w:color="2A71A5"/>
              <w:bottom w:val="single" w:sz="8" w:space="0" w:color="2A71A5"/>
              <w:right w:val="single" w:sz="8" w:space="0" w:color="2A71A5"/>
            </w:tcBorders>
            <w:shd w:val="clear" w:color="auto" w:fill="E8EBF0"/>
            <w:tcMar>
              <w:top w:w="72" w:type="dxa"/>
              <w:left w:w="144" w:type="dxa"/>
              <w:bottom w:w="72" w:type="dxa"/>
              <w:right w:w="144" w:type="dxa"/>
            </w:tcMar>
            <w:vAlign w:val="center"/>
            <w:hideMark/>
          </w:tcPr>
          <w:p w14:paraId="4F439CDF" w14:textId="77777777" w:rsidR="0029243B" w:rsidRPr="00884A13" w:rsidRDefault="0029243B" w:rsidP="00DA3133">
            <w:pPr>
              <w:suppressAutoHyphens/>
              <w:ind w:right="-58"/>
            </w:pPr>
            <w:r w:rsidRPr="00884A13">
              <w:sym w:font="Webdings" w:char="F061"/>
            </w:r>
          </w:p>
        </w:tc>
        <w:tc>
          <w:tcPr>
            <w:tcW w:w="810" w:type="dxa"/>
            <w:tcBorders>
              <w:top w:val="single" w:sz="18" w:space="0" w:color="2A71A5"/>
              <w:left w:val="single" w:sz="8" w:space="0" w:color="2A71A5"/>
              <w:bottom w:val="single" w:sz="8" w:space="0" w:color="2A71A5"/>
              <w:right w:val="single" w:sz="8" w:space="0" w:color="2A71A5"/>
            </w:tcBorders>
            <w:shd w:val="clear" w:color="auto" w:fill="E8EBF0"/>
            <w:tcMar>
              <w:top w:w="72" w:type="dxa"/>
              <w:left w:w="144" w:type="dxa"/>
              <w:bottom w:w="72" w:type="dxa"/>
              <w:right w:w="144" w:type="dxa"/>
            </w:tcMar>
            <w:vAlign w:val="center"/>
            <w:hideMark/>
          </w:tcPr>
          <w:p w14:paraId="6FE5E5AF" w14:textId="77777777" w:rsidR="0029243B" w:rsidRPr="00884A13" w:rsidRDefault="0029243B" w:rsidP="00DA3133">
            <w:pPr>
              <w:suppressAutoHyphens/>
              <w:ind w:right="-58"/>
            </w:pPr>
          </w:p>
        </w:tc>
        <w:tc>
          <w:tcPr>
            <w:tcW w:w="1594" w:type="dxa"/>
            <w:tcBorders>
              <w:top w:val="single" w:sz="18" w:space="0" w:color="2A71A5"/>
              <w:left w:val="single" w:sz="8" w:space="0" w:color="2A71A5"/>
              <w:bottom w:val="single" w:sz="8" w:space="0" w:color="2A71A5"/>
              <w:right w:val="single" w:sz="8" w:space="0" w:color="2A71A5"/>
            </w:tcBorders>
            <w:shd w:val="clear" w:color="auto" w:fill="E8EBF0"/>
            <w:tcMar>
              <w:top w:w="72" w:type="dxa"/>
              <w:left w:w="144" w:type="dxa"/>
              <w:bottom w:w="72" w:type="dxa"/>
              <w:right w:w="144" w:type="dxa"/>
            </w:tcMar>
            <w:vAlign w:val="center"/>
            <w:hideMark/>
          </w:tcPr>
          <w:p w14:paraId="61A96023" w14:textId="77777777" w:rsidR="0029243B" w:rsidRPr="00884A13" w:rsidRDefault="0029243B" w:rsidP="00DA3133">
            <w:pPr>
              <w:suppressAutoHyphens/>
              <w:ind w:right="-58"/>
            </w:pPr>
          </w:p>
        </w:tc>
      </w:tr>
      <w:tr w:rsidR="0029243B" w:rsidRPr="009F3BB6" w14:paraId="42F87E02" w14:textId="77777777" w:rsidTr="0029243B">
        <w:trPr>
          <w:trHeight w:val="432"/>
        </w:trPr>
        <w:tc>
          <w:tcPr>
            <w:tcW w:w="4616" w:type="dxa"/>
            <w:tcBorders>
              <w:top w:val="single" w:sz="8" w:space="0" w:color="2A71A5"/>
              <w:left w:val="single" w:sz="8" w:space="0" w:color="2A71A5"/>
              <w:bottom w:val="single" w:sz="8" w:space="0" w:color="2A71A5"/>
              <w:right w:val="single" w:sz="8" w:space="0" w:color="2A71A5"/>
            </w:tcBorders>
            <w:shd w:val="clear" w:color="auto" w:fill="auto"/>
            <w:tcMar>
              <w:top w:w="72" w:type="dxa"/>
              <w:left w:w="144" w:type="dxa"/>
              <w:bottom w:w="72" w:type="dxa"/>
              <w:right w:w="144" w:type="dxa"/>
            </w:tcMar>
            <w:vAlign w:val="center"/>
            <w:hideMark/>
          </w:tcPr>
          <w:p w14:paraId="7A1B7183" w14:textId="77777777" w:rsidR="0029243B" w:rsidRPr="00884A13" w:rsidRDefault="0029243B" w:rsidP="00DA3133">
            <w:pPr>
              <w:suppressAutoHyphens/>
              <w:ind w:right="-58"/>
            </w:pPr>
            <w:r w:rsidRPr="00884A13">
              <w:t>Financial Disclosure Form</w:t>
            </w:r>
          </w:p>
        </w:tc>
        <w:tc>
          <w:tcPr>
            <w:tcW w:w="900" w:type="dxa"/>
            <w:tcBorders>
              <w:top w:val="single" w:sz="8" w:space="0" w:color="2A71A5"/>
              <w:left w:val="single" w:sz="8" w:space="0" w:color="2A71A5"/>
              <w:bottom w:val="single" w:sz="8" w:space="0" w:color="2A71A5"/>
              <w:right w:val="single" w:sz="8" w:space="0" w:color="2A71A5"/>
            </w:tcBorders>
            <w:shd w:val="clear" w:color="auto" w:fill="auto"/>
            <w:tcMar>
              <w:top w:w="72" w:type="dxa"/>
              <w:left w:w="144" w:type="dxa"/>
              <w:bottom w:w="72" w:type="dxa"/>
              <w:right w:w="144" w:type="dxa"/>
            </w:tcMar>
            <w:vAlign w:val="center"/>
            <w:hideMark/>
          </w:tcPr>
          <w:p w14:paraId="09DEB697" w14:textId="77777777" w:rsidR="0029243B" w:rsidRPr="00884A13" w:rsidRDefault="0029243B" w:rsidP="00DA3133">
            <w:pPr>
              <w:suppressAutoHyphens/>
              <w:ind w:right="-58"/>
            </w:pPr>
            <w:r w:rsidRPr="00884A13">
              <w:sym w:font="Webdings" w:char="F061"/>
            </w:r>
          </w:p>
        </w:tc>
        <w:tc>
          <w:tcPr>
            <w:tcW w:w="990" w:type="dxa"/>
            <w:tcBorders>
              <w:top w:val="single" w:sz="8" w:space="0" w:color="2A71A5"/>
              <w:left w:val="single" w:sz="8" w:space="0" w:color="2A71A5"/>
              <w:bottom w:val="single" w:sz="8" w:space="0" w:color="2A71A5"/>
              <w:right w:val="single" w:sz="8" w:space="0" w:color="2A71A5"/>
            </w:tcBorders>
            <w:shd w:val="clear" w:color="auto" w:fill="auto"/>
            <w:tcMar>
              <w:top w:w="72" w:type="dxa"/>
              <w:left w:w="144" w:type="dxa"/>
              <w:bottom w:w="72" w:type="dxa"/>
              <w:right w:w="144" w:type="dxa"/>
            </w:tcMar>
            <w:vAlign w:val="center"/>
            <w:hideMark/>
          </w:tcPr>
          <w:p w14:paraId="400F660B" w14:textId="77777777" w:rsidR="0029243B" w:rsidRPr="00884A13" w:rsidRDefault="0029243B" w:rsidP="00DA3133">
            <w:pPr>
              <w:suppressAutoHyphens/>
              <w:ind w:right="-58"/>
            </w:pPr>
            <w:r w:rsidRPr="00884A13">
              <w:sym w:font="Webdings" w:char="F061"/>
            </w:r>
          </w:p>
        </w:tc>
        <w:tc>
          <w:tcPr>
            <w:tcW w:w="810" w:type="dxa"/>
            <w:tcBorders>
              <w:top w:val="single" w:sz="8" w:space="0" w:color="2A71A5"/>
              <w:left w:val="single" w:sz="8" w:space="0" w:color="2A71A5"/>
              <w:bottom w:val="single" w:sz="8" w:space="0" w:color="2A71A5"/>
              <w:right w:val="single" w:sz="8" w:space="0" w:color="2A71A5"/>
            </w:tcBorders>
            <w:shd w:val="clear" w:color="auto" w:fill="auto"/>
            <w:tcMar>
              <w:top w:w="72" w:type="dxa"/>
              <w:left w:w="144" w:type="dxa"/>
              <w:bottom w:w="72" w:type="dxa"/>
              <w:right w:w="144" w:type="dxa"/>
            </w:tcMar>
            <w:vAlign w:val="center"/>
            <w:hideMark/>
          </w:tcPr>
          <w:p w14:paraId="29CA8DC3" w14:textId="77777777" w:rsidR="0029243B" w:rsidRPr="00884A13" w:rsidRDefault="0029243B" w:rsidP="00DA3133">
            <w:pPr>
              <w:suppressAutoHyphens/>
              <w:ind w:right="-58"/>
            </w:pPr>
            <w:r w:rsidRPr="00884A13">
              <w:sym w:font="Webdings" w:char="F061"/>
            </w:r>
          </w:p>
        </w:tc>
        <w:tc>
          <w:tcPr>
            <w:tcW w:w="1594" w:type="dxa"/>
            <w:tcBorders>
              <w:top w:val="single" w:sz="8" w:space="0" w:color="2A71A5"/>
              <w:left w:val="single" w:sz="8" w:space="0" w:color="2A71A5"/>
              <w:bottom w:val="single" w:sz="8" w:space="0" w:color="2A71A5"/>
              <w:right w:val="single" w:sz="8" w:space="0" w:color="2A71A5"/>
            </w:tcBorders>
            <w:shd w:val="clear" w:color="auto" w:fill="auto"/>
            <w:tcMar>
              <w:top w:w="72" w:type="dxa"/>
              <w:left w:w="144" w:type="dxa"/>
              <w:bottom w:w="72" w:type="dxa"/>
              <w:right w:w="144" w:type="dxa"/>
            </w:tcMar>
            <w:vAlign w:val="center"/>
            <w:hideMark/>
          </w:tcPr>
          <w:p w14:paraId="5AAD3C8B" w14:textId="77777777" w:rsidR="0029243B" w:rsidRPr="00884A13" w:rsidRDefault="0029243B" w:rsidP="00DA3133">
            <w:pPr>
              <w:suppressAutoHyphens/>
              <w:ind w:right="-58"/>
            </w:pPr>
          </w:p>
        </w:tc>
      </w:tr>
      <w:tr w:rsidR="0029243B" w:rsidRPr="009F3BB6" w14:paraId="2D6A0C1B" w14:textId="77777777" w:rsidTr="0029243B">
        <w:trPr>
          <w:trHeight w:val="432"/>
        </w:trPr>
        <w:tc>
          <w:tcPr>
            <w:tcW w:w="4616" w:type="dxa"/>
            <w:tcBorders>
              <w:top w:val="single" w:sz="8" w:space="0" w:color="2A71A5"/>
              <w:left w:val="single" w:sz="8" w:space="0" w:color="2A71A5"/>
              <w:bottom w:val="single" w:sz="8" w:space="0" w:color="2A71A5"/>
              <w:right w:val="single" w:sz="8" w:space="0" w:color="2A71A5"/>
            </w:tcBorders>
            <w:shd w:val="clear" w:color="auto" w:fill="E8EBF0"/>
            <w:tcMar>
              <w:top w:w="72" w:type="dxa"/>
              <w:left w:w="144" w:type="dxa"/>
              <w:bottom w:w="72" w:type="dxa"/>
              <w:right w:w="144" w:type="dxa"/>
            </w:tcMar>
            <w:vAlign w:val="center"/>
            <w:hideMark/>
          </w:tcPr>
          <w:p w14:paraId="5206E094" w14:textId="77777777" w:rsidR="0029243B" w:rsidRPr="00884A13" w:rsidRDefault="0029243B" w:rsidP="00DA3133">
            <w:pPr>
              <w:suppressAutoHyphens/>
              <w:ind w:right="-58"/>
            </w:pPr>
            <w:r w:rsidRPr="00884A13">
              <w:t xml:space="preserve">NCI </w:t>
            </w:r>
            <w:proofErr w:type="spellStart"/>
            <w:r w:rsidRPr="00884A13">
              <w:t>Biosketch</w:t>
            </w:r>
            <w:proofErr w:type="spellEnd"/>
            <w:r w:rsidRPr="00884A13">
              <w:t xml:space="preserve"> (education, training, employment, license, and certification)</w:t>
            </w:r>
          </w:p>
        </w:tc>
        <w:tc>
          <w:tcPr>
            <w:tcW w:w="900" w:type="dxa"/>
            <w:tcBorders>
              <w:top w:val="single" w:sz="8" w:space="0" w:color="2A71A5"/>
              <w:left w:val="single" w:sz="8" w:space="0" w:color="2A71A5"/>
              <w:bottom w:val="single" w:sz="8" w:space="0" w:color="2A71A5"/>
              <w:right w:val="single" w:sz="8" w:space="0" w:color="2A71A5"/>
            </w:tcBorders>
            <w:shd w:val="clear" w:color="auto" w:fill="E8EBF0"/>
            <w:tcMar>
              <w:top w:w="72" w:type="dxa"/>
              <w:left w:w="144" w:type="dxa"/>
              <w:bottom w:w="72" w:type="dxa"/>
              <w:right w:w="144" w:type="dxa"/>
            </w:tcMar>
            <w:vAlign w:val="center"/>
            <w:hideMark/>
          </w:tcPr>
          <w:p w14:paraId="6CE25D0A" w14:textId="77777777" w:rsidR="0029243B" w:rsidRPr="00884A13" w:rsidRDefault="0029243B" w:rsidP="00DA3133">
            <w:pPr>
              <w:suppressAutoHyphens/>
              <w:ind w:right="-58"/>
            </w:pPr>
            <w:r w:rsidRPr="00884A13">
              <w:sym w:font="Webdings" w:char="F061"/>
            </w:r>
          </w:p>
        </w:tc>
        <w:tc>
          <w:tcPr>
            <w:tcW w:w="990" w:type="dxa"/>
            <w:tcBorders>
              <w:top w:val="single" w:sz="8" w:space="0" w:color="2A71A5"/>
              <w:left w:val="single" w:sz="8" w:space="0" w:color="2A71A5"/>
              <w:bottom w:val="single" w:sz="8" w:space="0" w:color="2A71A5"/>
              <w:right w:val="single" w:sz="8" w:space="0" w:color="2A71A5"/>
            </w:tcBorders>
            <w:shd w:val="clear" w:color="auto" w:fill="E8EBF0"/>
            <w:tcMar>
              <w:top w:w="72" w:type="dxa"/>
              <w:left w:w="144" w:type="dxa"/>
              <w:bottom w:w="72" w:type="dxa"/>
              <w:right w:w="144" w:type="dxa"/>
            </w:tcMar>
            <w:vAlign w:val="center"/>
            <w:hideMark/>
          </w:tcPr>
          <w:p w14:paraId="43182937" w14:textId="77777777" w:rsidR="0029243B" w:rsidRPr="00884A13" w:rsidRDefault="0029243B" w:rsidP="00DA3133">
            <w:pPr>
              <w:suppressAutoHyphens/>
              <w:ind w:right="-58"/>
            </w:pPr>
            <w:r w:rsidRPr="00884A13">
              <w:sym w:font="Webdings" w:char="F061"/>
            </w:r>
          </w:p>
        </w:tc>
        <w:tc>
          <w:tcPr>
            <w:tcW w:w="810" w:type="dxa"/>
            <w:tcBorders>
              <w:top w:val="single" w:sz="8" w:space="0" w:color="2A71A5"/>
              <w:left w:val="single" w:sz="8" w:space="0" w:color="2A71A5"/>
              <w:bottom w:val="single" w:sz="8" w:space="0" w:color="2A71A5"/>
              <w:right w:val="single" w:sz="8" w:space="0" w:color="2A71A5"/>
            </w:tcBorders>
            <w:shd w:val="clear" w:color="auto" w:fill="E8EBF0"/>
            <w:tcMar>
              <w:top w:w="72" w:type="dxa"/>
              <w:left w:w="144" w:type="dxa"/>
              <w:bottom w:w="72" w:type="dxa"/>
              <w:right w:w="144" w:type="dxa"/>
            </w:tcMar>
            <w:vAlign w:val="center"/>
            <w:hideMark/>
          </w:tcPr>
          <w:p w14:paraId="10F20211" w14:textId="77777777" w:rsidR="0029243B" w:rsidRPr="00884A13" w:rsidRDefault="0029243B" w:rsidP="00DA3133">
            <w:pPr>
              <w:suppressAutoHyphens/>
              <w:ind w:right="-58"/>
            </w:pPr>
            <w:r w:rsidRPr="00884A13">
              <w:sym w:font="Webdings" w:char="F061"/>
            </w:r>
          </w:p>
        </w:tc>
        <w:tc>
          <w:tcPr>
            <w:tcW w:w="1594" w:type="dxa"/>
            <w:tcBorders>
              <w:top w:val="single" w:sz="8" w:space="0" w:color="2A71A5"/>
              <w:left w:val="single" w:sz="8" w:space="0" w:color="2A71A5"/>
              <w:bottom w:val="single" w:sz="8" w:space="0" w:color="2A71A5"/>
              <w:right w:val="single" w:sz="8" w:space="0" w:color="2A71A5"/>
            </w:tcBorders>
            <w:shd w:val="clear" w:color="auto" w:fill="E8EBF0"/>
            <w:tcMar>
              <w:top w:w="72" w:type="dxa"/>
              <w:left w:w="144" w:type="dxa"/>
              <w:bottom w:w="72" w:type="dxa"/>
              <w:right w:w="144" w:type="dxa"/>
            </w:tcMar>
            <w:vAlign w:val="center"/>
            <w:hideMark/>
          </w:tcPr>
          <w:p w14:paraId="2F460CE9" w14:textId="77777777" w:rsidR="0029243B" w:rsidRPr="00884A13" w:rsidRDefault="0029243B" w:rsidP="00DA3133">
            <w:pPr>
              <w:suppressAutoHyphens/>
              <w:ind w:right="-58"/>
            </w:pPr>
          </w:p>
        </w:tc>
      </w:tr>
      <w:tr w:rsidR="0029243B" w:rsidRPr="009F3BB6" w14:paraId="3FF4CA58" w14:textId="77777777" w:rsidTr="0029243B">
        <w:trPr>
          <w:trHeight w:val="432"/>
        </w:trPr>
        <w:tc>
          <w:tcPr>
            <w:tcW w:w="4616" w:type="dxa"/>
            <w:tcBorders>
              <w:top w:val="single" w:sz="8" w:space="0" w:color="2A71A5"/>
              <w:left w:val="single" w:sz="8" w:space="0" w:color="2A71A5"/>
              <w:bottom w:val="single" w:sz="8" w:space="0" w:color="2A71A5"/>
              <w:right w:val="single" w:sz="8" w:space="0" w:color="2A71A5"/>
            </w:tcBorders>
            <w:shd w:val="clear" w:color="auto" w:fill="auto"/>
            <w:tcMar>
              <w:top w:w="72" w:type="dxa"/>
              <w:left w:w="144" w:type="dxa"/>
              <w:bottom w:w="72" w:type="dxa"/>
              <w:right w:w="144" w:type="dxa"/>
            </w:tcMar>
            <w:vAlign w:val="center"/>
            <w:hideMark/>
          </w:tcPr>
          <w:p w14:paraId="585F29E5" w14:textId="77777777" w:rsidR="0029243B" w:rsidRPr="00884A13" w:rsidRDefault="0029243B" w:rsidP="00DA3133">
            <w:pPr>
              <w:suppressAutoHyphens/>
              <w:ind w:right="-58"/>
            </w:pPr>
            <w:r w:rsidRPr="00884A13">
              <w:t>HSP/GCP training</w:t>
            </w:r>
          </w:p>
        </w:tc>
        <w:tc>
          <w:tcPr>
            <w:tcW w:w="900" w:type="dxa"/>
            <w:tcBorders>
              <w:top w:val="single" w:sz="8" w:space="0" w:color="2A71A5"/>
              <w:left w:val="single" w:sz="8" w:space="0" w:color="2A71A5"/>
              <w:bottom w:val="single" w:sz="8" w:space="0" w:color="2A71A5"/>
              <w:right w:val="single" w:sz="8" w:space="0" w:color="2A71A5"/>
            </w:tcBorders>
            <w:shd w:val="clear" w:color="auto" w:fill="auto"/>
            <w:tcMar>
              <w:top w:w="72" w:type="dxa"/>
              <w:left w:w="144" w:type="dxa"/>
              <w:bottom w:w="72" w:type="dxa"/>
              <w:right w:w="144" w:type="dxa"/>
            </w:tcMar>
            <w:vAlign w:val="center"/>
            <w:hideMark/>
          </w:tcPr>
          <w:p w14:paraId="55D717F9" w14:textId="77777777" w:rsidR="0029243B" w:rsidRPr="00884A13" w:rsidRDefault="0029243B" w:rsidP="00DA3133">
            <w:pPr>
              <w:suppressAutoHyphens/>
              <w:ind w:right="-58"/>
            </w:pPr>
            <w:r w:rsidRPr="00884A13">
              <w:sym w:font="Webdings" w:char="F061"/>
            </w:r>
          </w:p>
        </w:tc>
        <w:tc>
          <w:tcPr>
            <w:tcW w:w="990" w:type="dxa"/>
            <w:tcBorders>
              <w:top w:val="single" w:sz="8" w:space="0" w:color="2A71A5"/>
              <w:left w:val="single" w:sz="8" w:space="0" w:color="2A71A5"/>
              <w:bottom w:val="single" w:sz="8" w:space="0" w:color="2A71A5"/>
              <w:right w:val="single" w:sz="8" w:space="0" w:color="2A71A5"/>
            </w:tcBorders>
            <w:shd w:val="clear" w:color="auto" w:fill="auto"/>
            <w:tcMar>
              <w:top w:w="72" w:type="dxa"/>
              <w:left w:w="144" w:type="dxa"/>
              <w:bottom w:w="72" w:type="dxa"/>
              <w:right w:w="144" w:type="dxa"/>
            </w:tcMar>
            <w:vAlign w:val="center"/>
            <w:hideMark/>
          </w:tcPr>
          <w:p w14:paraId="37BF86DF" w14:textId="77777777" w:rsidR="0029243B" w:rsidRPr="00884A13" w:rsidRDefault="0029243B" w:rsidP="00DA3133">
            <w:pPr>
              <w:suppressAutoHyphens/>
              <w:ind w:right="-58"/>
            </w:pPr>
            <w:r w:rsidRPr="00884A13">
              <w:sym w:font="Webdings" w:char="F061"/>
            </w:r>
          </w:p>
        </w:tc>
        <w:tc>
          <w:tcPr>
            <w:tcW w:w="810" w:type="dxa"/>
            <w:tcBorders>
              <w:top w:val="single" w:sz="8" w:space="0" w:color="2A71A5"/>
              <w:left w:val="single" w:sz="8" w:space="0" w:color="2A71A5"/>
              <w:bottom w:val="single" w:sz="8" w:space="0" w:color="2A71A5"/>
              <w:right w:val="single" w:sz="8" w:space="0" w:color="2A71A5"/>
            </w:tcBorders>
            <w:shd w:val="clear" w:color="auto" w:fill="auto"/>
            <w:tcMar>
              <w:top w:w="72" w:type="dxa"/>
              <w:left w:w="144" w:type="dxa"/>
              <w:bottom w:w="72" w:type="dxa"/>
              <w:right w:w="144" w:type="dxa"/>
            </w:tcMar>
            <w:vAlign w:val="center"/>
            <w:hideMark/>
          </w:tcPr>
          <w:p w14:paraId="49A5E391" w14:textId="77777777" w:rsidR="0029243B" w:rsidRPr="00884A13" w:rsidRDefault="0029243B" w:rsidP="00DA3133">
            <w:pPr>
              <w:suppressAutoHyphens/>
              <w:ind w:right="-58"/>
            </w:pPr>
            <w:r w:rsidRPr="00884A13">
              <w:sym w:font="Webdings" w:char="F061"/>
            </w:r>
          </w:p>
        </w:tc>
        <w:tc>
          <w:tcPr>
            <w:tcW w:w="1594" w:type="dxa"/>
            <w:tcBorders>
              <w:top w:val="single" w:sz="8" w:space="0" w:color="2A71A5"/>
              <w:left w:val="single" w:sz="8" w:space="0" w:color="2A71A5"/>
              <w:bottom w:val="single" w:sz="8" w:space="0" w:color="2A71A5"/>
              <w:right w:val="single" w:sz="8" w:space="0" w:color="2A71A5"/>
            </w:tcBorders>
            <w:shd w:val="clear" w:color="auto" w:fill="auto"/>
            <w:tcMar>
              <w:top w:w="72" w:type="dxa"/>
              <w:left w:w="144" w:type="dxa"/>
              <w:bottom w:w="72" w:type="dxa"/>
              <w:right w:w="144" w:type="dxa"/>
            </w:tcMar>
            <w:vAlign w:val="center"/>
            <w:hideMark/>
          </w:tcPr>
          <w:p w14:paraId="7C18013F" w14:textId="77777777" w:rsidR="0029243B" w:rsidRPr="00884A13" w:rsidRDefault="0029243B" w:rsidP="00DA3133">
            <w:pPr>
              <w:suppressAutoHyphens/>
              <w:ind w:right="-58"/>
            </w:pPr>
          </w:p>
        </w:tc>
      </w:tr>
      <w:tr w:rsidR="0029243B" w:rsidRPr="009F3BB6" w14:paraId="64BFFD90" w14:textId="77777777" w:rsidTr="0029243B">
        <w:trPr>
          <w:trHeight w:val="432"/>
        </w:trPr>
        <w:tc>
          <w:tcPr>
            <w:tcW w:w="4616" w:type="dxa"/>
            <w:tcBorders>
              <w:top w:val="single" w:sz="8" w:space="0" w:color="2A71A5"/>
              <w:left w:val="single" w:sz="8" w:space="0" w:color="2A71A5"/>
              <w:bottom w:val="single" w:sz="8" w:space="0" w:color="2A71A5"/>
              <w:right w:val="single" w:sz="8" w:space="0" w:color="2A71A5"/>
            </w:tcBorders>
            <w:shd w:val="clear" w:color="auto" w:fill="E8EBF0"/>
            <w:tcMar>
              <w:top w:w="72" w:type="dxa"/>
              <w:left w:w="144" w:type="dxa"/>
              <w:bottom w:w="72" w:type="dxa"/>
              <w:right w:w="144" w:type="dxa"/>
            </w:tcMar>
            <w:vAlign w:val="center"/>
            <w:hideMark/>
          </w:tcPr>
          <w:p w14:paraId="2D036092" w14:textId="77777777" w:rsidR="0029243B" w:rsidRPr="00884A13" w:rsidRDefault="0029243B" w:rsidP="00DA3133">
            <w:pPr>
              <w:suppressAutoHyphens/>
              <w:ind w:right="-58"/>
            </w:pPr>
            <w:r w:rsidRPr="00884A13">
              <w:lastRenderedPageBreak/>
              <w:t>Agent Shipment Form (if applicable)</w:t>
            </w:r>
          </w:p>
        </w:tc>
        <w:tc>
          <w:tcPr>
            <w:tcW w:w="900" w:type="dxa"/>
            <w:tcBorders>
              <w:top w:val="single" w:sz="8" w:space="0" w:color="2A71A5"/>
              <w:left w:val="single" w:sz="8" w:space="0" w:color="2A71A5"/>
              <w:bottom w:val="single" w:sz="8" w:space="0" w:color="2A71A5"/>
              <w:right w:val="single" w:sz="8" w:space="0" w:color="2A71A5"/>
            </w:tcBorders>
            <w:shd w:val="clear" w:color="auto" w:fill="E8EBF0"/>
            <w:tcMar>
              <w:top w:w="72" w:type="dxa"/>
              <w:left w:w="144" w:type="dxa"/>
              <w:bottom w:w="72" w:type="dxa"/>
              <w:right w:w="144" w:type="dxa"/>
            </w:tcMar>
            <w:vAlign w:val="center"/>
            <w:hideMark/>
          </w:tcPr>
          <w:p w14:paraId="759C8944" w14:textId="77777777" w:rsidR="0029243B" w:rsidRPr="00884A13" w:rsidRDefault="0029243B" w:rsidP="00DA3133">
            <w:pPr>
              <w:suppressAutoHyphens/>
              <w:ind w:right="-58"/>
            </w:pPr>
            <w:r w:rsidRPr="00884A13">
              <w:sym w:font="Webdings" w:char="F061"/>
            </w:r>
          </w:p>
        </w:tc>
        <w:tc>
          <w:tcPr>
            <w:tcW w:w="990" w:type="dxa"/>
            <w:tcBorders>
              <w:top w:val="single" w:sz="8" w:space="0" w:color="2A71A5"/>
              <w:left w:val="single" w:sz="8" w:space="0" w:color="2A71A5"/>
              <w:bottom w:val="single" w:sz="8" w:space="0" w:color="2A71A5"/>
              <w:right w:val="single" w:sz="8" w:space="0" w:color="2A71A5"/>
            </w:tcBorders>
            <w:shd w:val="clear" w:color="auto" w:fill="E8EBF0"/>
            <w:tcMar>
              <w:top w:w="72" w:type="dxa"/>
              <w:left w:w="144" w:type="dxa"/>
              <w:bottom w:w="72" w:type="dxa"/>
              <w:right w:w="144" w:type="dxa"/>
            </w:tcMar>
            <w:vAlign w:val="center"/>
            <w:hideMark/>
          </w:tcPr>
          <w:p w14:paraId="114AF9CE" w14:textId="77777777" w:rsidR="0029243B" w:rsidRPr="00884A13" w:rsidRDefault="0029243B" w:rsidP="00DA3133">
            <w:pPr>
              <w:suppressAutoHyphens/>
              <w:ind w:right="-58"/>
            </w:pPr>
          </w:p>
        </w:tc>
        <w:tc>
          <w:tcPr>
            <w:tcW w:w="810" w:type="dxa"/>
            <w:tcBorders>
              <w:top w:val="single" w:sz="8" w:space="0" w:color="2A71A5"/>
              <w:left w:val="single" w:sz="8" w:space="0" w:color="2A71A5"/>
              <w:bottom w:val="single" w:sz="8" w:space="0" w:color="2A71A5"/>
              <w:right w:val="single" w:sz="8" w:space="0" w:color="2A71A5"/>
            </w:tcBorders>
            <w:shd w:val="clear" w:color="auto" w:fill="E8EBF0"/>
            <w:tcMar>
              <w:top w:w="72" w:type="dxa"/>
              <w:left w:w="144" w:type="dxa"/>
              <w:bottom w:w="72" w:type="dxa"/>
              <w:right w:w="144" w:type="dxa"/>
            </w:tcMar>
            <w:vAlign w:val="center"/>
            <w:hideMark/>
          </w:tcPr>
          <w:p w14:paraId="045E104F" w14:textId="77777777" w:rsidR="0029243B" w:rsidRPr="00884A13" w:rsidRDefault="0029243B" w:rsidP="00DA3133">
            <w:pPr>
              <w:suppressAutoHyphens/>
              <w:ind w:right="-58"/>
            </w:pPr>
          </w:p>
        </w:tc>
        <w:tc>
          <w:tcPr>
            <w:tcW w:w="1594" w:type="dxa"/>
            <w:tcBorders>
              <w:top w:val="single" w:sz="8" w:space="0" w:color="2A71A5"/>
              <w:left w:val="single" w:sz="8" w:space="0" w:color="2A71A5"/>
              <w:bottom w:val="single" w:sz="8" w:space="0" w:color="2A71A5"/>
              <w:right w:val="single" w:sz="8" w:space="0" w:color="2A71A5"/>
            </w:tcBorders>
            <w:shd w:val="clear" w:color="auto" w:fill="E8EBF0"/>
            <w:tcMar>
              <w:top w:w="72" w:type="dxa"/>
              <w:left w:w="144" w:type="dxa"/>
              <w:bottom w:w="72" w:type="dxa"/>
              <w:right w:w="144" w:type="dxa"/>
            </w:tcMar>
            <w:vAlign w:val="center"/>
            <w:hideMark/>
          </w:tcPr>
          <w:p w14:paraId="27A44A38" w14:textId="77777777" w:rsidR="0029243B" w:rsidRPr="00884A13" w:rsidRDefault="0029243B" w:rsidP="00DA3133">
            <w:pPr>
              <w:suppressAutoHyphens/>
              <w:ind w:right="-58"/>
            </w:pPr>
          </w:p>
        </w:tc>
      </w:tr>
      <w:tr w:rsidR="0029243B" w:rsidRPr="009F3BB6" w14:paraId="29B4957A" w14:textId="77777777" w:rsidTr="0029243B">
        <w:trPr>
          <w:trHeight w:val="432"/>
        </w:trPr>
        <w:tc>
          <w:tcPr>
            <w:tcW w:w="4616" w:type="dxa"/>
            <w:tcBorders>
              <w:top w:val="single" w:sz="8" w:space="0" w:color="2A71A5"/>
              <w:left w:val="single" w:sz="8" w:space="0" w:color="2A71A5"/>
              <w:bottom w:val="single" w:sz="8" w:space="0" w:color="2A71A5"/>
              <w:right w:val="single" w:sz="8" w:space="0" w:color="2A71A5"/>
            </w:tcBorders>
            <w:shd w:val="clear" w:color="auto" w:fill="auto"/>
            <w:tcMar>
              <w:top w:w="72" w:type="dxa"/>
              <w:left w:w="144" w:type="dxa"/>
              <w:bottom w:w="72" w:type="dxa"/>
              <w:right w:w="144" w:type="dxa"/>
            </w:tcMar>
            <w:vAlign w:val="center"/>
            <w:hideMark/>
          </w:tcPr>
          <w:p w14:paraId="346F787F" w14:textId="77777777" w:rsidR="0029243B" w:rsidRPr="00884A13" w:rsidRDefault="0029243B" w:rsidP="00DA3133">
            <w:pPr>
              <w:suppressAutoHyphens/>
              <w:ind w:right="-58"/>
            </w:pPr>
            <w:r w:rsidRPr="00884A13">
              <w:t>CV (optional)</w:t>
            </w:r>
          </w:p>
        </w:tc>
        <w:tc>
          <w:tcPr>
            <w:tcW w:w="900" w:type="dxa"/>
            <w:tcBorders>
              <w:top w:val="single" w:sz="8" w:space="0" w:color="2A71A5"/>
              <w:left w:val="single" w:sz="8" w:space="0" w:color="2A71A5"/>
              <w:bottom w:val="single" w:sz="8" w:space="0" w:color="2A71A5"/>
              <w:right w:val="single" w:sz="8" w:space="0" w:color="2A71A5"/>
            </w:tcBorders>
            <w:shd w:val="clear" w:color="auto" w:fill="auto"/>
            <w:tcMar>
              <w:top w:w="72" w:type="dxa"/>
              <w:left w:w="144" w:type="dxa"/>
              <w:bottom w:w="72" w:type="dxa"/>
              <w:right w:w="144" w:type="dxa"/>
            </w:tcMar>
            <w:vAlign w:val="center"/>
            <w:hideMark/>
          </w:tcPr>
          <w:p w14:paraId="336E6B4A" w14:textId="77777777" w:rsidR="0029243B" w:rsidRPr="00884A13" w:rsidRDefault="0029243B" w:rsidP="00DA3133">
            <w:pPr>
              <w:suppressAutoHyphens/>
              <w:ind w:right="-58"/>
            </w:pPr>
            <w:r w:rsidRPr="00884A13">
              <w:sym w:font="Webdings" w:char="F061"/>
            </w:r>
          </w:p>
        </w:tc>
        <w:tc>
          <w:tcPr>
            <w:tcW w:w="990" w:type="dxa"/>
            <w:tcBorders>
              <w:top w:val="single" w:sz="8" w:space="0" w:color="2A71A5"/>
              <w:left w:val="single" w:sz="8" w:space="0" w:color="2A71A5"/>
              <w:bottom w:val="single" w:sz="8" w:space="0" w:color="2A71A5"/>
              <w:right w:val="single" w:sz="8" w:space="0" w:color="2A71A5"/>
            </w:tcBorders>
            <w:shd w:val="clear" w:color="auto" w:fill="auto"/>
            <w:tcMar>
              <w:top w:w="72" w:type="dxa"/>
              <w:left w:w="144" w:type="dxa"/>
              <w:bottom w:w="72" w:type="dxa"/>
              <w:right w:w="144" w:type="dxa"/>
            </w:tcMar>
            <w:vAlign w:val="center"/>
            <w:hideMark/>
          </w:tcPr>
          <w:p w14:paraId="2E16D6D7" w14:textId="77777777" w:rsidR="0029243B" w:rsidRPr="00884A13" w:rsidRDefault="0029243B" w:rsidP="00DA3133">
            <w:pPr>
              <w:suppressAutoHyphens/>
              <w:ind w:right="-58"/>
            </w:pPr>
            <w:r w:rsidRPr="00884A13">
              <w:sym w:font="Webdings" w:char="F061"/>
            </w:r>
          </w:p>
        </w:tc>
        <w:tc>
          <w:tcPr>
            <w:tcW w:w="810" w:type="dxa"/>
            <w:tcBorders>
              <w:top w:val="single" w:sz="8" w:space="0" w:color="2A71A5"/>
              <w:left w:val="single" w:sz="8" w:space="0" w:color="2A71A5"/>
              <w:bottom w:val="single" w:sz="8" w:space="0" w:color="2A71A5"/>
              <w:right w:val="single" w:sz="8" w:space="0" w:color="2A71A5"/>
            </w:tcBorders>
            <w:shd w:val="clear" w:color="auto" w:fill="auto"/>
            <w:tcMar>
              <w:top w:w="72" w:type="dxa"/>
              <w:left w:w="144" w:type="dxa"/>
              <w:bottom w:w="72" w:type="dxa"/>
              <w:right w:w="144" w:type="dxa"/>
            </w:tcMar>
            <w:vAlign w:val="center"/>
            <w:hideMark/>
          </w:tcPr>
          <w:p w14:paraId="3D3CD198" w14:textId="77777777" w:rsidR="0029243B" w:rsidRPr="00884A13" w:rsidRDefault="0029243B" w:rsidP="00DA3133">
            <w:pPr>
              <w:suppressAutoHyphens/>
              <w:ind w:right="-58"/>
            </w:pPr>
            <w:r w:rsidRPr="00884A13">
              <w:sym w:font="Webdings" w:char="F061"/>
            </w:r>
          </w:p>
        </w:tc>
        <w:tc>
          <w:tcPr>
            <w:tcW w:w="1594" w:type="dxa"/>
            <w:tcBorders>
              <w:top w:val="single" w:sz="8" w:space="0" w:color="2A71A5"/>
              <w:left w:val="single" w:sz="8" w:space="0" w:color="2A71A5"/>
              <w:bottom w:val="single" w:sz="8" w:space="0" w:color="2A71A5"/>
              <w:right w:val="single" w:sz="8" w:space="0" w:color="2A71A5"/>
            </w:tcBorders>
            <w:shd w:val="clear" w:color="auto" w:fill="auto"/>
            <w:tcMar>
              <w:top w:w="72" w:type="dxa"/>
              <w:left w:w="144" w:type="dxa"/>
              <w:bottom w:w="72" w:type="dxa"/>
              <w:right w:w="144" w:type="dxa"/>
            </w:tcMar>
            <w:vAlign w:val="center"/>
            <w:hideMark/>
          </w:tcPr>
          <w:p w14:paraId="614185BD" w14:textId="77777777" w:rsidR="0029243B" w:rsidRPr="00884A13" w:rsidRDefault="0029243B" w:rsidP="00DA3133">
            <w:pPr>
              <w:suppressAutoHyphens/>
              <w:ind w:right="-58"/>
            </w:pPr>
          </w:p>
        </w:tc>
      </w:tr>
    </w:tbl>
    <w:p w14:paraId="0FD73FCA" w14:textId="77777777" w:rsidR="0029243B" w:rsidRDefault="0029243B" w:rsidP="00A01675">
      <w:pPr>
        <w:suppressAutoHyphens/>
        <w:spacing w:after="0" w:line="240" w:lineRule="auto"/>
        <w:ind w:left="360" w:right="-60"/>
        <w:rPr>
          <w:rFonts w:ascii="Arial" w:hAnsi="Arial" w:cs="Arial"/>
        </w:rPr>
      </w:pPr>
    </w:p>
    <w:p w14:paraId="4FB6F363" w14:textId="77777777" w:rsidR="00247320" w:rsidRPr="00247320" w:rsidRDefault="00247320" w:rsidP="00A01675">
      <w:pPr>
        <w:suppressAutoHyphens/>
        <w:spacing w:after="0" w:line="240" w:lineRule="auto"/>
        <w:ind w:left="1080" w:right="-60"/>
        <w:rPr>
          <w:rFonts w:ascii="Arial" w:hAnsi="Arial" w:cs="Arial"/>
        </w:rPr>
      </w:pPr>
    </w:p>
    <w:p w14:paraId="38A3EFFC" w14:textId="77777777" w:rsidR="0029243B" w:rsidRDefault="0029243B" w:rsidP="0029243B">
      <w:pPr>
        <w:suppressAutoHyphens/>
        <w:ind w:left="360" w:right="-60"/>
        <w:rPr>
          <w:rFonts w:ascii="Arial" w:hAnsi="Arial" w:cs="Arial"/>
        </w:rPr>
      </w:pPr>
      <w:r w:rsidRPr="0029243B">
        <w:rPr>
          <w:rFonts w:ascii="Arial" w:hAnsi="Arial" w:cs="Arial"/>
        </w:rPr>
        <w:t xml:space="preserve">Additional information can be found on the CTEP website at </w:t>
      </w:r>
      <w:hyperlink r:id="rId8" w:history="1">
        <w:r w:rsidRPr="0029243B">
          <w:rPr>
            <w:rStyle w:val="Hyperlink"/>
            <w:rFonts w:ascii="Arial" w:hAnsi="Arial" w:cs="Arial"/>
          </w:rPr>
          <w:t>https://ctep.cancer.gov/investigatorResources/default.htm</w:t>
        </w:r>
      </w:hyperlink>
      <w:r w:rsidRPr="0029243B">
        <w:rPr>
          <w:rFonts w:ascii="Arial" w:hAnsi="Arial" w:cs="Arial"/>
        </w:rPr>
        <w:t xml:space="preserve">.  </w:t>
      </w:r>
    </w:p>
    <w:p w14:paraId="043A7A48" w14:textId="77777777" w:rsidR="0029243B" w:rsidRPr="0029243B" w:rsidRDefault="00063C26" w:rsidP="0029243B">
      <w:pPr>
        <w:suppressAutoHyphens/>
        <w:ind w:left="360" w:right="-60"/>
        <w:rPr>
          <w:rFonts w:ascii="Arial" w:hAnsi="Arial" w:cs="Arial"/>
        </w:rPr>
      </w:pPr>
      <w:hyperlink w:history="1"/>
      <w:r w:rsidR="0029243B" w:rsidRPr="0029243B">
        <w:rPr>
          <w:rFonts w:ascii="Arial" w:hAnsi="Arial" w:cs="Arial"/>
        </w:rPr>
        <w:t>For questions, please contact the RCR</w:t>
      </w:r>
      <w:r w:rsidR="0029243B" w:rsidRPr="0029243B">
        <w:rPr>
          <w:rFonts w:ascii="Arial" w:hAnsi="Arial" w:cs="Arial"/>
          <w:b/>
          <w:i/>
        </w:rPr>
        <w:t xml:space="preserve"> Help Desk</w:t>
      </w:r>
      <w:r w:rsidR="0029243B" w:rsidRPr="0029243B">
        <w:rPr>
          <w:rFonts w:ascii="Arial" w:hAnsi="Arial" w:cs="Arial"/>
        </w:rPr>
        <w:t xml:space="preserve"> by email at </w:t>
      </w:r>
      <w:hyperlink r:id="rId9" w:history="1">
        <w:r w:rsidR="0029243B" w:rsidRPr="0029243B">
          <w:rPr>
            <w:rStyle w:val="Hyperlink"/>
            <w:rFonts w:ascii="Arial" w:hAnsi="Arial" w:cs="Arial"/>
          </w:rPr>
          <w:t>RCRHelpDesk@nih.gov</w:t>
        </w:r>
      </w:hyperlink>
      <w:hyperlink r:id="rId10" w:history="1"/>
      <w:r w:rsidR="0029243B" w:rsidRPr="0029243B">
        <w:rPr>
          <w:rFonts w:ascii="Arial" w:hAnsi="Arial" w:cs="Arial"/>
        </w:rPr>
        <w:t>.</w:t>
      </w:r>
    </w:p>
    <w:p w14:paraId="5271C691" w14:textId="0F3EEBD1" w:rsidR="001307EA" w:rsidRPr="00610794" w:rsidRDefault="001307EA" w:rsidP="001307EA">
      <w:pPr>
        <w:pStyle w:val="ListParagraph"/>
        <w:ind w:left="360"/>
        <w:contextualSpacing/>
        <w:jc w:val="both"/>
        <w:rPr>
          <w:rFonts w:ascii="Arial" w:hAnsi="Arial" w:cs="Arial"/>
        </w:rPr>
      </w:pPr>
      <w:r>
        <w:rPr>
          <w:rFonts w:ascii="Arial" w:eastAsia="Times New Roman" w:hAnsi="Arial" w:cs="Arial"/>
        </w:rPr>
        <w:t xml:space="preserve">Clinical Investigator and identified sub-investigators are required to register with the </w:t>
      </w:r>
      <w:r w:rsidRPr="00610794">
        <w:rPr>
          <w:rFonts w:ascii="Arial" w:eastAsia="Times New Roman" w:hAnsi="Arial" w:cs="Arial"/>
        </w:rPr>
        <w:t xml:space="preserve">NCI for the purposes of identifying </w:t>
      </w:r>
      <w:r>
        <w:rPr>
          <w:rFonts w:ascii="Arial" w:eastAsia="Times New Roman" w:hAnsi="Arial" w:cs="Arial"/>
        </w:rPr>
        <w:t xml:space="preserve">Clinical </w:t>
      </w:r>
      <w:r w:rsidRPr="00610794">
        <w:rPr>
          <w:rFonts w:ascii="Arial" w:eastAsia="Times New Roman" w:hAnsi="Arial" w:cs="Arial"/>
        </w:rPr>
        <w:t xml:space="preserve">Investigators qualified to participate on the NCI Formulary Study and for the purpose of trial conduct using NCI’s clinical trial infrastructure but are also required to </w:t>
      </w:r>
      <w:r>
        <w:rPr>
          <w:rFonts w:ascii="Arial" w:eastAsia="Times New Roman" w:hAnsi="Arial" w:cs="Arial"/>
        </w:rPr>
        <w:t xml:space="preserve">complete and </w:t>
      </w:r>
      <w:r w:rsidRPr="00610794">
        <w:rPr>
          <w:rFonts w:ascii="Arial" w:eastAsia="Times New Roman" w:hAnsi="Arial" w:cs="Arial"/>
        </w:rPr>
        <w:t>maintain their own Form FDA 1572 and Form FDA 3455 as sponsor-investigator in accordance with 21CFR312 and 21CFR54, respectively.</w:t>
      </w:r>
      <w:r>
        <w:rPr>
          <w:rFonts w:ascii="Arial" w:eastAsia="Times New Roman" w:hAnsi="Arial" w:cs="Arial"/>
        </w:rPr>
        <w:t xml:space="preserve"> Clinical Investigator as a sponsor-investigator must maintain an accurate list of sub-investigators participating in the clinical investigation and their identified roles and responsibilities on the NCI Formulary protocol.</w:t>
      </w:r>
    </w:p>
    <w:p w14:paraId="71DB7B2B" w14:textId="77777777" w:rsidR="001307EA" w:rsidRDefault="001307EA" w:rsidP="00A01675">
      <w:pPr>
        <w:suppressAutoHyphens/>
        <w:spacing w:after="0" w:line="240" w:lineRule="auto"/>
        <w:ind w:left="360" w:right="-60"/>
        <w:rPr>
          <w:rFonts w:ascii="Arial" w:hAnsi="Arial" w:cs="Arial"/>
        </w:rPr>
      </w:pPr>
    </w:p>
    <w:p w14:paraId="0C11204D" w14:textId="77777777" w:rsidR="00247320" w:rsidRPr="00247320" w:rsidRDefault="00FA50AB" w:rsidP="00867F26">
      <w:pPr>
        <w:tabs>
          <w:tab w:val="left" w:pos="6945"/>
        </w:tabs>
        <w:suppressAutoHyphens/>
        <w:spacing w:after="0" w:line="240" w:lineRule="auto"/>
        <w:ind w:left="360" w:right="-60"/>
        <w:rPr>
          <w:rFonts w:ascii="Arial" w:hAnsi="Arial" w:cs="Arial"/>
        </w:rPr>
      </w:pPr>
      <w:r>
        <w:rPr>
          <w:rFonts w:ascii="Arial" w:hAnsi="Arial" w:cs="Arial"/>
        </w:rPr>
        <w:tab/>
      </w:r>
    </w:p>
    <w:p w14:paraId="0810F13C" w14:textId="77777777" w:rsidR="00A01675" w:rsidRDefault="00A01675" w:rsidP="00D400BB">
      <w:pPr>
        <w:pStyle w:val="ListParagraph"/>
        <w:numPr>
          <w:ilvl w:val="0"/>
          <w:numId w:val="2"/>
        </w:numPr>
        <w:contextualSpacing/>
        <w:jc w:val="both"/>
        <w:rPr>
          <w:rFonts w:ascii="Arial" w:hAnsi="Arial" w:cs="Arial"/>
        </w:rPr>
      </w:pPr>
      <w:r>
        <w:rPr>
          <w:rFonts w:ascii="Arial" w:hAnsi="Arial" w:cs="Arial"/>
        </w:rPr>
        <w:t xml:space="preserve">The protocol must contain instructions for submitting regulatory documents to </w:t>
      </w:r>
      <w:r w:rsidR="00A55617" w:rsidRPr="000560D9">
        <w:rPr>
          <w:rFonts w:ascii="Arial" w:hAnsi="Arial" w:cs="Arial"/>
        </w:rPr>
        <w:t>CTEP</w:t>
      </w:r>
      <w:r>
        <w:rPr>
          <w:rFonts w:ascii="Arial" w:hAnsi="Arial" w:cs="Arial"/>
        </w:rPr>
        <w:t>/NCI:</w:t>
      </w:r>
    </w:p>
    <w:p w14:paraId="0D033450" w14:textId="77777777" w:rsidR="00A01675" w:rsidRDefault="00A01675" w:rsidP="00A01675">
      <w:pPr>
        <w:pStyle w:val="1BulletLis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rFonts w:ascii="Arial" w:hAnsi="Arial" w:cs="Arial"/>
          <w:szCs w:val="22"/>
        </w:rPr>
      </w:pPr>
    </w:p>
    <w:p w14:paraId="4EFA864D" w14:textId="77777777" w:rsidR="00D41D65" w:rsidRPr="009C771B" w:rsidRDefault="00C65D58" w:rsidP="00D41D65">
      <w:pPr>
        <w:suppressAutoHyphens/>
        <w:spacing w:after="0" w:line="240" w:lineRule="auto"/>
        <w:ind w:left="360" w:right="-60"/>
        <w:rPr>
          <w:rFonts w:ascii="Arial" w:hAnsi="Arial" w:cs="Arial"/>
          <w:u w:val="single"/>
        </w:rPr>
      </w:pPr>
      <w:r>
        <w:rPr>
          <w:rFonts w:ascii="Arial" w:hAnsi="Arial" w:cs="Arial"/>
          <w:u w:val="single"/>
        </w:rPr>
        <w:t xml:space="preserve">Submitting Protocol-related </w:t>
      </w:r>
      <w:r w:rsidR="00D41D65">
        <w:rPr>
          <w:rFonts w:ascii="Arial" w:hAnsi="Arial" w:cs="Arial"/>
          <w:u w:val="single"/>
        </w:rPr>
        <w:t>Documents to NCI</w:t>
      </w:r>
    </w:p>
    <w:p w14:paraId="7BFF1C60" w14:textId="77777777" w:rsidR="00D41D65" w:rsidRDefault="00D41D65" w:rsidP="00D41D65">
      <w:pPr>
        <w:pStyle w:val="1BulletLis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0"/>
        <w:rPr>
          <w:rFonts w:ascii="Arial" w:hAnsi="Arial" w:cs="Arial"/>
          <w:szCs w:val="22"/>
        </w:rPr>
      </w:pPr>
    </w:p>
    <w:p w14:paraId="04F07801" w14:textId="77777777" w:rsidR="00A01675" w:rsidRPr="00A01675" w:rsidRDefault="00A01675" w:rsidP="00157BDA">
      <w:pPr>
        <w:pStyle w:val="1BulletLis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0"/>
        <w:rPr>
          <w:rFonts w:ascii="Arial" w:hAnsi="Arial" w:cs="Arial"/>
          <w:szCs w:val="22"/>
        </w:rPr>
      </w:pPr>
      <w:r>
        <w:rPr>
          <w:rFonts w:ascii="Arial" w:hAnsi="Arial" w:cs="Arial"/>
          <w:szCs w:val="22"/>
        </w:rPr>
        <w:t xml:space="preserve">The </w:t>
      </w:r>
      <w:r w:rsidRPr="00A01675">
        <w:rPr>
          <w:rFonts w:ascii="Arial" w:hAnsi="Arial" w:cs="Arial"/>
          <w:szCs w:val="22"/>
        </w:rPr>
        <w:t xml:space="preserve">following items </w:t>
      </w:r>
      <w:r>
        <w:rPr>
          <w:rFonts w:ascii="Arial" w:hAnsi="Arial" w:cs="Arial"/>
          <w:szCs w:val="22"/>
        </w:rPr>
        <w:t xml:space="preserve">must </w:t>
      </w:r>
      <w:r w:rsidRPr="00A01675">
        <w:rPr>
          <w:rFonts w:ascii="Arial" w:hAnsi="Arial" w:cs="Arial"/>
          <w:szCs w:val="22"/>
        </w:rPr>
        <w:t xml:space="preserve">be submitted </w:t>
      </w:r>
      <w:r w:rsidR="00D41D65">
        <w:rPr>
          <w:rFonts w:ascii="Arial" w:hAnsi="Arial" w:cs="Arial"/>
          <w:szCs w:val="22"/>
        </w:rPr>
        <w:t xml:space="preserve">to the NCI </w:t>
      </w:r>
      <w:r w:rsidRPr="00A01675">
        <w:rPr>
          <w:rFonts w:ascii="Arial" w:hAnsi="Arial" w:cs="Arial"/>
          <w:szCs w:val="22"/>
        </w:rPr>
        <w:t>throughout the course of study</w:t>
      </w:r>
      <w:r w:rsidR="00D41D65">
        <w:rPr>
          <w:rFonts w:ascii="Arial" w:hAnsi="Arial" w:cs="Arial"/>
          <w:szCs w:val="22"/>
        </w:rPr>
        <w:t>:</w:t>
      </w:r>
    </w:p>
    <w:p w14:paraId="18386BD9" w14:textId="77777777" w:rsidR="00157BDA" w:rsidRDefault="00157BDA" w:rsidP="00157BDA">
      <w:pPr>
        <w:pStyle w:val="a"/>
        <w:ind w:left="1080" w:firstLine="0"/>
        <w:rPr>
          <w:rFonts w:ascii="Arial" w:hAnsi="Arial" w:cs="Arial"/>
        </w:rPr>
      </w:pPr>
    </w:p>
    <w:p w14:paraId="478E2120" w14:textId="77777777" w:rsidR="00D41D65" w:rsidRPr="00157BDA" w:rsidRDefault="00A01675" w:rsidP="00157BDA">
      <w:pPr>
        <w:pStyle w:val="a"/>
        <w:numPr>
          <w:ilvl w:val="0"/>
          <w:numId w:val="32"/>
        </w:numPr>
        <w:rPr>
          <w:rStyle w:val="Hyperlink"/>
          <w:rFonts w:ascii="Arial" w:hAnsi="Arial" w:cs="Arial"/>
          <w:color w:val="000000" w:themeColor="text1"/>
        </w:rPr>
      </w:pPr>
      <w:r w:rsidRPr="00157BDA">
        <w:rPr>
          <w:rFonts w:ascii="Arial" w:hAnsi="Arial" w:cs="Arial"/>
          <w:color w:val="000000" w:themeColor="text1"/>
        </w:rPr>
        <w:t>Notification of any changes in protocol status, IND status and notification of any amendments to the Formulary Protocol that may affect Formulary Agent(s) supply needs</w:t>
      </w:r>
      <w:r w:rsidR="00157BDA" w:rsidRPr="00157BDA">
        <w:rPr>
          <w:rFonts w:ascii="Arial" w:hAnsi="Arial" w:cs="Arial"/>
          <w:color w:val="000000" w:themeColor="text1"/>
        </w:rPr>
        <w:t xml:space="preserve"> or add new participating investigators</w:t>
      </w:r>
      <w:r w:rsidRPr="00157BDA">
        <w:rPr>
          <w:rFonts w:ascii="Arial" w:hAnsi="Arial" w:cs="Arial"/>
          <w:color w:val="000000" w:themeColor="text1"/>
        </w:rPr>
        <w:t xml:space="preserve">: </w:t>
      </w:r>
      <w:r w:rsidR="00D41D65" w:rsidRPr="00157BDA">
        <w:rPr>
          <w:rFonts w:ascii="Arial" w:hAnsi="Arial" w:cs="Arial"/>
          <w:color w:val="000000" w:themeColor="text1"/>
        </w:rPr>
        <w:t>Submit to</w:t>
      </w:r>
      <w:r w:rsidR="00FA50AB">
        <w:rPr>
          <w:rFonts w:ascii="Arial" w:hAnsi="Arial" w:cs="Arial"/>
          <w:color w:val="000000" w:themeColor="text1"/>
        </w:rPr>
        <w:t xml:space="preserve"> </w:t>
      </w:r>
      <w:hyperlink r:id="rId11" w:history="1">
        <w:r w:rsidR="00FA50AB" w:rsidRPr="00FA50AB">
          <w:rPr>
            <w:rStyle w:val="Hyperlink"/>
            <w:rFonts w:ascii="Arial" w:hAnsi="Arial" w:cs="Arial"/>
            <w:b/>
            <w:i/>
          </w:rPr>
          <w:t>CTEP Protocol and Information Office</w:t>
        </w:r>
      </w:hyperlink>
      <w:r w:rsidR="00FA50AB">
        <w:rPr>
          <w:rFonts w:ascii="Arial" w:hAnsi="Arial" w:cs="Arial"/>
          <w:color w:val="000000" w:themeColor="text1"/>
        </w:rPr>
        <w:t>.</w:t>
      </w:r>
      <w:r w:rsidRPr="00157BDA">
        <w:rPr>
          <w:rStyle w:val="Hyperlink"/>
          <w:rFonts w:ascii="Arial" w:hAnsi="Arial" w:cs="Arial"/>
          <w:color w:val="000000" w:themeColor="text1"/>
        </w:rPr>
        <w:t xml:space="preserve"> </w:t>
      </w:r>
    </w:p>
    <w:p w14:paraId="3299926E" w14:textId="77777777" w:rsidR="00A01675" w:rsidRPr="00C65D58" w:rsidRDefault="00A01675" w:rsidP="00D41D65">
      <w:pPr>
        <w:pStyle w:val="a"/>
        <w:numPr>
          <w:ilvl w:val="0"/>
          <w:numId w:val="12"/>
        </w:numPr>
        <w:rPr>
          <w:rFonts w:ascii="Arial" w:hAnsi="Arial" w:cs="Arial"/>
          <w:u w:val="single"/>
        </w:rPr>
      </w:pPr>
      <w:r w:rsidRPr="00C65D58">
        <w:rPr>
          <w:rFonts w:ascii="Arial" w:hAnsi="Arial" w:cs="Arial"/>
        </w:rPr>
        <w:t>Copies of continuing IRB</w:t>
      </w:r>
      <w:r w:rsidR="00157BDA">
        <w:rPr>
          <w:rFonts w:ascii="Arial" w:hAnsi="Arial" w:cs="Arial"/>
        </w:rPr>
        <w:t xml:space="preserve"> review approvals (and IBC review approval if applicable) </w:t>
      </w:r>
      <w:r w:rsidR="00D41D65" w:rsidRPr="00C65D58">
        <w:rPr>
          <w:rFonts w:ascii="Arial" w:hAnsi="Arial" w:cs="Arial"/>
        </w:rPr>
        <w:t>Submit to</w:t>
      </w:r>
      <w:r w:rsidRPr="00C65D58">
        <w:rPr>
          <w:rFonts w:ascii="Arial" w:hAnsi="Arial" w:cs="Arial"/>
        </w:rPr>
        <w:t xml:space="preserve"> </w:t>
      </w:r>
      <w:hyperlink r:id="rId12" w:history="1">
        <w:r w:rsidR="00FA50AB" w:rsidRPr="00FA50AB">
          <w:rPr>
            <w:rStyle w:val="Hyperlink"/>
            <w:rFonts w:ascii="Arial" w:hAnsi="Arial" w:cs="Arial"/>
            <w:b/>
            <w:i/>
          </w:rPr>
          <w:t>CTEP Protocol and Information Office</w:t>
        </w:r>
      </w:hyperlink>
      <w:r w:rsidR="00FA50AB">
        <w:rPr>
          <w:rFonts w:ascii="Arial" w:hAnsi="Arial" w:cs="Arial"/>
          <w:b/>
          <w:i/>
          <w:color w:val="000000" w:themeColor="text1"/>
        </w:rPr>
        <w:t>.</w:t>
      </w:r>
    </w:p>
    <w:p w14:paraId="48935C94" w14:textId="77777777" w:rsidR="00A01675" w:rsidRPr="00A01675" w:rsidRDefault="00A01675" w:rsidP="00D41D65">
      <w:pPr>
        <w:pStyle w:val="a"/>
        <w:numPr>
          <w:ilvl w:val="0"/>
          <w:numId w:val="12"/>
        </w:numPr>
        <w:rPr>
          <w:rFonts w:ascii="Arial" w:hAnsi="Arial" w:cs="Arial"/>
        </w:rPr>
      </w:pPr>
      <w:r w:rsidRPr="00A01675">
        <w:rPr>
          <w:rFonts w:ascii="Arial" w:hAnsi="Arial" w:cs="Arial"/>
        </w:rPr>
        <w:t xml:space="preserve">Copies of any abstracts, manuscripts, proposed clintrials.gov submissions and publications: </w:t>
      </w:r>
      <w:r w:rsidR="00C65D58">
        <w:rPr>
          <w:rFonts w:ascii="Arial" w:hAnsi="Arial" w:cs="Arial"/>
        </w:rPr>
        <w:t xml:space="preserve">Submit to </w:t>
      </w:r>
      <w:hyperlink r:id="rId13" w:history="1">
        <w:r w:rsidR="00FA50AB" w:rsidRPr="001307EA">
          <w:rPr>
            <w:rStyle w:val="Hyperlink"/>
            <w:rFonts w:ascii="Arial" w:hAnsi="Arial" w:cs="Arial"/>
            <w:b/>
            <w:i/>
          </w:rPr>
          <w:t>NCI CTEP Publications</w:t>
        </w:r>
      </w:hyperlink>
      <w:r w:rsidR="00FA50AB">
        <w:rPr>
          <w:rFonts w:ascii="Arial" w:hAnsi="Arial" w:cs="Arial"/>
        </w:rPr>
        <w:t>.</w:t>
      </w:r>
      <w:r w:rsidR="00FA50AB" w:rsidRPr="00A01675">
        <w:rPr>
          <w:rFonts w:ascii="Arial" w:hAnsi="Arial" w:cs="Arial"/>
        </w:rPr>
        <w:t xml:space="preserve"> </w:t>
      </w:r>
    </w:p>
    <w:p w14:paraId="585372B4" w14:textId="77777777" w:rsidR="000560D9" w:rsidRPr="000560D9" w:rsidRDefault="000560D9" w:rsidP="000560D9">
      <w:pPr>
        <w:pStyle w:val="ListParagraph"/>
        <w:rPr>
          <w:rFonts w:ascii="Arial" w:hAnsi="Arial" w:cs="Arial"/>
        </w:rPr>
      </w:pPr>
    </w:p>
    <w:p w14:paraId="14645489" w14:textId="39D09123" w:rsidR="000560D9" w:rsidRDefault="00274C32" w:rsidP="00C565DF">
      <w:pPr>
        <w:pStyle w:val="ListParagraph"/>
        <w:numPr>
          <w:ilvl w:val="0"/>
          <w:numId w:val="2"/>
        </w:numPr>
        <w:contextualSpacing/>
        <w:jc w:val="both"/>
        <w:rPr>
          <w:rFonts w:ascii="Arial" w:hAnsi="Arial" w:cs="Arial"/>
        </w:rPr>
      </w:pPr>
      <w:r>
        <w:rPr>
          <w:rFonts w:ascii="Arial" w:hAnsi="Arial" w:cs="Arial"/>
        </w:rPr>
        <w:t>The protocol must contain instructions for expedited and routine adverse event reporting</w:t>
      </w:r>
      <w:r w:rsidR="001307EA">
        <w:rPr>
          <w:rFonts w:ascii="Arial" w:hAnsi="Arial" w:cs="Arial"/>
        </w:rPr>
        <w:t xml:space="preserve"> as agreed upon with the Pharmaceutical Collaborator and in accordance with 21CFR312 as the IND sponsor</w:t>
      </w:r>
      <w:r w:rsidR="0057287C">
        <w:rPr>
          <w:rFonts w:ascii="Arial" w:hAnsi="Arial" w:cs="Arial"/>
        </w:rPr>
        <w:t>.</w:t>
      </w:r>
    </w:p>
    <w:p w14:paraId="25F8FD64" w14:textId="77777777" w:rsidR="000560D9" w:rsidRPr="0057287C" w:rsidRDefault="000560D9" w:rsidP="0057287C">
      <w:pPr>
        <w:rPr>
          <w:rFonts w:ascii="Arial" w:hAnsi="Arial" w:cs="Arial"/>
        </w:rPr>
      </w:pPr>
    </w:p>
    <w:p w14:paraId="5C1DA5D7" w14:textId="77777777" w:rsidR="0079506F" w:rsidRDefault="0079506F" w:rsidP="00C565DF">
      <w:pPr>
        <w:pStyle w:val="ListParagraph"/>
        <w:numPr>
          <w:ilvl w:val="0"/>
          <w:numId w:val="2"/>
        </w:numPr>
        <w:contextualSpacing/>
        <w:jc w:val="both"/>
        <w:rPr>
          <w:rFonts w:ascii="Arial" w:hAnsi="Arial" w:cs="Arial"/>
        </w:rPr>
      </w:pPr>
      <w:r>
        <w:rPr>
          <w:rFonts w:ascii="Arial" w:hAnsi="Arial" w:cs="Arial"/>
        </w:rPr>
        <w:t xml:space="preserve">The investigator-developed pharmaceutical information section for the NCI Formulary Agent must contain the following information and ordering instructions: </w:t>
      </w:r>
    </w:p>
    <w:p w14:paraId="78701201" w14:textId="77777777" w:rsidR="0079506F" w:rsidRPr="0079506F" w:rsidRDefault="0079506F" w:rsidP="0079506F">
      <w:pPr>
        <w:pStyle w:val="ListParagraph"/>
        <w:ind w:left="360"/>
        <w:contextualSpacing/>
        <w:jc w:val="both"/>
        <w:rPr>
          <w:rFonts w:ascii="Arial" w:hAnsi="Arial" w:cs="Arial"/>
        </w:rPr>
      </w:pPr>
    </w:p>
    <w:p w14:paraId="7E6F9597" w14:textId="77777777" w:rsidR="0079506F" w:rsidRPr="00196D1D" w:rsidRDefault="0079506F" w:rsidP="0079506F">
      <w:pPr>
        <w:suppressAutoHyphens/>
        <w:ind w:firstLine="360"/>
        <w:rPr>
          <w:rFonts w:ascii="Arial" w:hAnsi="Arial" w:cs="Arial"/>
          <w:b/>
          <w:u w:val="single"/>
        </w:rPr>
      </w:pPr>
      <w:r w:rsidRPr="00196D1D">
        <w:rPr>
          <w:rFonts w:ascii="Arial" w:hAnsi="Arial" w:cs="Arial"/>
          <w:b/>
          <w:u w:val="single"/>
        </w:rPr>
        <w:t>Availability</w:t>
      </w:r>
    </w:p>
    <w:p w14:paraId="19CAAAFC" w14:textId="77777777" w:rsidR="0079506F" w:rsidRPr="0079506F" w:rsidRDefault="0079506F" w:rsidP="0079506F">
      <w:pPr>
        <w:pStyle w:val="ListParagraph"/>
        <w:ind w:left="360"/>
        <w:contextualSpacing/>
        <w:jc w:val="both"/>
        <w:rPr>
          <w:rFonts w:ascii="Arial" w:hAnsi="Arial" w:cs="Arial"/>
          <w:spacing w:val="-3"/>
        </w:rPr>
      </w:pPr>
      <w:r w:rsidRPr="0079506F">
        <w:rPr>
          <w:rFonts w:ascii="Arial" w:hAnsi="Arial" w:cs="Arial"/>
          <w:i/>
          <w:spacing w:val="-3"/>
        </w:rPr>
        <w:lastRenderedPageBreak/>
        <w:t>[Agent Name]</w:t>
      </w:r>
      <w:r w:rsidRPr="0079506F">
        <w:rPr>
          <w:rFonts w:ascii="Arial" w:hAnsi="Arial" w:cs="Arial"/>
          <w:spacing w:val="-3"/>
        </w:rPr>
        <w:t xml:space="preserve"> is supplied by </w:t>
      </w:r>
      <w:r w:rsidRPr="0079506F">
        <w:rPr>
          <w:rFonts w:ascii="Arial" w:hAnsi="Arial" w:cs="Arial"/>
          <w:i/>
          <w:spacing w:val="-3"/>
        </w:rPr>
        <w:t>[NCI Formulary Pharmaceutical Collaborator]</w:t>
      </w:r>
      <w:r w:rsidRPr="0079506F">
        <w:rPr>
          <w:rFonts w:ascii="Arial" w:hAnsi="Arial" w:cs="Arial"/>
          <w:spacing w:val="-3"/>
        </w:rPr>
        <w:t xml:space="preserve"> and distributed by the Pharmaceutical Management Branch, CTEP, DCTD, NCI</w:t>
      </w:r>
      <w:r w:rsidR="00196D1D">
        <w:rPr>
          <w:rFonts w:ascii="Arial" w:hAnsi="Arial" w:cs="Arial"/>
          <w:spacing w:val="-3"/>
        </w:rPr>
        <w:t>.</w:t>
      </w:r>
    </w:p>
    <w:p w14:paraId="0F0E3308" w14:textId="77777777" w:rsidR="0079506F" w:rsidRPr="0079506F" w:rsidRDefault="0079506F" w:rsidP="0079506F">
      <w:pPr>
        <w:suppressAutoHyphens/>
        <w:ind w:left="720"/>
        <w:rPr>
          <w:rFonts w:ascii="Arial" w:hAnsi="Arial" w:cs="Arial"/>
        </w:rPr>
      </w:pPr>
    </w:p>
    <w:p w14:paraId="2EC87733" w14:textId="77777777" w:rsidR="0079506F" w:rsidRPr="0079506F" w:rsidRDefault="00196D1D" w:rsidP="00196D1D">
      <w:pPr>
        <w:ind w:left="360"/>
        <w:rPr>
          <w:rFonts w:ascii="Arial" w:hAnsi="Arial" w:cs="Arial"/>
        </w:rPr>
      </w:pPr>
      <w:r w:rsidRPr="0079506F">
        <w:rPr>
          <w:rFonts w:ascii="Arial" w:hAnsi="Arial" w:cs="Arial"/>
          <w:i/>
          <w:spacing w:val="-3"/>
        </w:rPr>
        <w:t>[Agent Name]</w:t>
      </w:r>
      <w:r>
        <w:rPr>
          <w:rFonts w:ascii="Arial" w:hAnsi="Arial" w:cs="Arial"/>
          <w:i/>
          <w:spacing w:val="-3"/>
        </w:rPr>
        <w:t xml:space="preserve"> </w:t>
      </w:r>
      <w:r w:rsidR="0079506F" w:rsidRPr="0079506F">
        <w:rPr>
          <w:rFonts w:ascii="Arial" w:hAnsi="Arial" w:cs="Arial"/>
        </w:rPr>
        <w:t xml:space="preserve">is provided to the NCI </w:t>
      </w:r>
      <w:r>
        <w:rPr>
          <w:rFonts w:ascii="Arial" w:hAnsi="Arial" w:cs="Arial"/>
        </w:rPr>
        <w:t xml:space="preserve">for the NCI Formulary </w:t>
      </w:r>
      <w:r w:rsidR="0079506F" w:rsidRPr="0079506F">
        <w:rPr>
          <w:rFonts w:ascii="Arial" w:hAnsi="Arial" w:cs="Arial"/>
        </w:rPr>
        <w:t xml:space="preserve">under a Collaborative Agreement between the Pharmaceutical Collaborator and </w:t>
      </w:r>
      <w:r w:rsidR="00665E66">
        <w:rPr>
          <w:rFonts w:ascii="Arial" w:hAnsi="Arial" w:cs="Arial"/>
        </w:rPr>
        <w:t>the DCTD, NCI</w:t>
      </w:r>
      <w:r w:rsidR="0079506F" w:rsidRPr="0079506F">
        <w:rPr>
          <w:rFonts w:ascii="Arial" w:hAnsi="Arial" w:cs="Arial"/>
        </w:rPr>
        <w:t>.</w:t>
      </w:r>
    </w:p>
    <w:p w14:paraId="5B91A955" w14:textId="77777777" w:rsidR="00196D1D" w:rsidRPr="00196D1D" w:rsidRDefault="00196D1D" w:rsidP="00196D1D">
      <w:pPr>
        <w:pStyle w:val="Level3Heading"/>
        <w:numPr>
          <w:ilvl w:val="0"/>
          <w:numId w:val="0"/>
        </w:numPr>
        <w:ind w:firstLine="360"/>
        <w:rPr>
          <w:rFonts w:ascii="Arial" w:hAnsi="Arial" w:cs="Arial"/>
          <w:b/>
          <w:sz w:val="22"/>
          <w:szCs w:val="22"/>
          <w:u w:val="single"/>
        </w:rPr>
      </w:pPr>
      <w:r w:rsidRPr="00196D1D">
        <w:rPr>
          <w:rFonts w:ascii="Arial" w:hAnsi="Arial" w:cs="Arial"/>
          <w:b/>
          <w:sz w:val="22"/>
          <w:szCs w:val="22"/>
          <w:u w:val="single"/>
        </w:rPr>
        <w:t>Agent Ordering and Agent Accountability</w:t>
      </w:r>
    </w:p>
    <w:p w14:paraId="7E19F87E" w14:textId="77777777" w:rsidR="00196D1D" w:rsidRPr="00196D1D" w:rsidRDefault="00196D1D" w:rsidP="00196D1D">
      <w:pPr>
        <w:pStyle w:val="Level4Heading"/>
        <w:numPr>
          <w:ilvl w:val="0"/>
          <w:numId w:val="0"/>
        </w:numPr>
        <w:ind w:left="720"/>
        <w:rPr>
          <w:rFonts w:ascii="Arial" w:hAnsi="Arial" w:cs="Arial"/>
          <w:sz w:val="22"/>
          <w:szCs w:val="22"/>
        </w:rPr>
      </w:pPr>
    </w:p>
    <w:p w14:paraId="74B81D90" w14:textId="77777777" w:rsidR="00D13F11" w:rsidRPr="00D13F11" w:rsidRDefault="00D13F11" w:rsidP="00D13F11">
      <w:pPr>
        <w:pStyle w:val="Level4Heading"/>
        <w:keepLines w:val="0"/>
        <w:numPr>
          <w:ilvl w:val="0"/>
          <w:numId w:val="0"/>
        </w:numPr>
        <w:ind w:left="360"/>
        <w:rPr>
          <w:rFonts w:ascii="Arial" w:hAnsi="Arial" w:cs="Arial"/>
          <w:sz w:val="22"/>
          <w:szCs w:val="22"/>
        </w:rPr>
      </w:pPr>
      <w:r w:rsidRPr="00D13F11">
        <w:rPr>
          <w:rFonts w:ascii="Arial" w:hAnsi="Arial" w:cs="Arial"/>
          <w:sz w:val="22"/>
          <w:szCs w:val="22"/>
        </w:rPr>
        <w:t xml:space="preserve">The CTEP-assigned protocol number must be used for ordering all CTEP-supplied investigational agents.  The eligible participating investigators at each participating institution must be registered with CTEP, DCTD through an annual submission of FDA Form 1572 (Statement of Investigator), NCI </w:t>
      </w:r>
      <w:proofErr w:type="spellStart"/>
      <w:r w:rsidRPr="00D13F11">
        <w:rPr>
          <w:rFonts w:ascii="Arial" w:hAnsi="Arial" w:cs="Arial"/>
          <w:sz w:val="22"/>
          <w:szCs w:val="22"/>
        </w:rPr>
        <w:t>Biosketch</w:t>
      </w:r>
      <w:proofErr w:type="spellEnd"/>
      <w:r w:rsidRPr="00D13F11">
        <w:rPr>
          <w:rFonts w:ascii="Arial" w:hAnsi="Arial" w:cs="Arial"/>
          <w:sz w:val="22"/>
          <w:szCs w:val="22"/>
        </w:rPr>
        <w:t>, Agent Shipment Form, and Financial Disclosure Form (FDF).  If there are several participating investigators at one institution, CTEP-supplied investigational agents for the study should be ordered under the name of one lead participating investigator at that institution.</w:t>
      </w:r>
    </w:p>
    <w:p w14:paraId="067146AF" w14:textId="77777777" w:rsidR="00D13F11" w:rsidRPr="00D13F11" w:rsidRDefault="00D13F11" w:rsidP="00D13F11">
      <w:pPr>
        <w:pStyle w:val="Level4Heading"/>
        <w:numPr>
          <w:ilvl w:val="0"/>
          <w:numId w:val="0"/>
        </w:numPr>
        <w:jc w:val="both"/>
        <w:rPr>
          <w:rFonts w:ascii="Arial" w:hAnsi="Arial" w:cs="Arial"/>
          <w:sz w:val="22"/>
          <w:szCs w:val="22"/>
        </w:rPr>
      </w:pPr>
    </w:p>
    <w:p w14:paraId="6C1414F0" w14:textId="42B14BB1" w:rsidR="00196D1D" w:rsidRPr="00D13F11" w:rsidRDefault="00D13F11" w:rsidP="00D13F11">
      <w:pPr>
        <w:pStyle w:val="Level4Heading"/>
        <w:numPr>
          <w:ilvl w:val="0"/>
          <w:numId w:val="0"/>
        </w:numPr>
        <w:ind w:left="360"/>
        <w:jc w:val="both"/>
        <w:rPr>
          <w:rFonts w:ascii="Arial" w:hAnsi="Arial" w:cs="Arial"/>
          <w:sz w:val="22"/>
          <w:szCs w:val="22"/>
        </w:rPr>
      </w:pPr>
      <w:r w:rsidRPr="00D13F11">
        <w:rPr>
          <w:rFonts w:ascii="Arial" w:hAnsi="Arial" w:cs="Arial"/>
          <w:sz w:val="22"/>
          <w:szCs w:val="22"/>
        </w:rPr>
        <w:t>Submit agent requests through the PMB AURORA application.  Access to AURORA requires the establishment of credentials necessary to access secure NCI Clinical Oncology Research Enterprise (CORE) systems, maintenance of an “active” account status, a “current” password, and active person registration status.  For questions about drug orders, transfers, returns, or accountability, call or email PMB any time or use the dialog function in AURORA to communicate with PMB staff.  Refer to the PMB’s website for specific policies and guidelines related to agent management</w:t>
      </w:r>
      <w:r w:rsidRPr="00D13F11">
        <w:rPr>
          <w:rFonts w:ascii="Arial" w:hAnsi="Arial" w:cs="Arial"/>
          <w:sz w:val="22"/>
          <w:szCs w:val="22"/>
        </w:rPr>
        <w:t>.</w:t>
      </w:r>
    </w:p>
    <w:p w14:paraId="049DD780" w14:textId="77777777" w:rsidR="00D13F11" w:rsidRPr="00D13F11" w:rsidRDefault="00D13F11" w:rsidP="00D13F11"/>
    <w:p w14:paraId="59743193" w14:textId="77777777" w:rsidR="00196D1D" w:rsidRPr="00196D1D" w:rsidRDefault="00196D1D" w:rsidP="00196D1D">
      <w:pPr>
        <w:pStyle w:val="Level4Heading"/>
        <w:numPr>
          <w:ilvl w:val="0"/>
          <w:numId w:val="0"/>
        </w:numPr>
        <w:ind w:left="360"/>
        <w:jc w:val="both"/>
        <w:rPr>
          <w:rFonts w:ascii="Arial" w:hAnsi="Arial" w:cs="Arial"/>
          <w:sz w:val="22"/>
          <w:szCs w:val="22"/>
        </w:rPr>
      </w:pPr>
      <w:r w:rsidRPr="00196D1D">
        <w:rPr>
          <w:rFonts w:ascii="Arial" w:hAnsi="Arial" w:cs="Arial"/>
          <w:sz w:val="22"/>
          <w:szCs w:val="22"/>
        </w:rPr>
        <w:t>Agent Inventory Records – The investigator, or a responsible party designated by the investigator, must maintain a careful record of the receipt, dispensing and final disposition of all agents received from the PMB using the appropriate NCI Investigational Agent (Drug) Accountability Record (DARF) available on the CTEP forms page.  Store and maintain separate NCI Investigational Agent Accountability Records for each agent, strength, formulation and ordering investigator on this protocol.</w:t>
      </w:r>
    </w:p>
    <w:p w14:paraId="599EADF1" w14:textId="77777777" w:rsidR="00196D1D" w:rsidRDefault="00196D1D" w:rsidP="00196D1D">
      <w:pPr>
        <w:rPr>
          <w:rFonts w:ascii="Arial" w:hAnsi="Arial" w:cs="Arial"/>
        </w:rPr>
      </w:pPr>
    </w:p>
    <w:p w14:paraId="0BCBD946" w14:textId="77777777" w:rsidR="00063C26" w:rsidRPr="00063C26" w:rsidRDefault="00063C26" w:rsidP="00063C26">
      <w:pPr>
        <w:pStyle w:val="Level3Heading"/>
        <w:numPr>
          <w:ilvl w:val="0"/>
          <w:numId w:val="0"/>
        </w:numPr>
        <w:ind w:firstLine="360"/>
        <w:rPr>
          <w:rFonts w:ascii="Arial" w:hAnsi="Arial" w:cs="Arial"/>
          <w:b/>
          <w:bCs/>
          <w:sz w:val="22"/>
          <w:szCs w:val="22"/>
          <w:u w:val="single"/>
        </w:rPr>
      </w:pPr>
      <w:r w:rsidRPr="00063C26">
        <w:rPr>
          <w:rFonts w:ascii="Arial" w:hAnsi="Arial" w:cs="Arial"/>
          <w:b/>
          <w:bCs/>
          <w:sz w:val="22"/>
          <w:szCs w:val="22"/>
          <w:u w:val="single"/>
        </w:rPr>
        <w:t>Material Safety Data Sheets</w:t>
      </w:r>
    </w:p>
    <w:p w14:paraId="265AF98B" w14:textId="77777777" w:rsidR="00063C26" w:rsidRPr="00063C26" w:rsidRDefault="00063C26" w:rsidP="00063C26">
      <w:pPr>
        <w:rPr>
          <w:rFonts w:ascii="Arial" w:hAnsi="Arial" w:cs="Arial"/>
        </w:rPr>
      </w:pPr>
    </w:p>
    <w:p w14:paraId="0B241C4C" w14:textId="77777777" w:rsidR="00063C26" w:rsidRPr="00063C26" w:rsidRDefault="00063C26" w:rsidP="00063C26">
      <w:pPr>
        <w:pStyle w:val="ListParagraph"/>
        <w:widowControl w:val="0"/>
        <w:ind w:left="360"/>
        <w:contextualSpacing/>
        <w:rPr>
          <w:rFonts w:ascii="Arial" w:hAnsi="Arial" w:cs="Arial"/>
        </w:rPr>
      </w:pPr>
      <w:r w:rsidRPr="00063C26">
        <w:rPr>
          <w:rFonts w:ascii="Arial" w:hAnsi="Arial" w:cs="Arial"/>
        </w:rPr>
        <w:t xml:space="preserve">The current versions of the material safety data sheets (MSDS or SDS) for PMB-distributed agents will be accessible to site investigators and research staff through the PMB AURORA application. Questions about MSDS access may be directed to the PMB at </w:t>
      </w:r>
      <w:hyperlink r:id="rId14" w:history="1">
        <w:r w:rsidRPr="00063C26">
          <w:rPr>
            <w:rStyle w:val="Hyperlink"/>
            <w:rFonts w:ascii="Arial" w:hAnsi="Arial" w:cs="Arial"/>
          </w:rPr>
          <w:t>PMBAfterHours@mail.nih.gov</w:t>
        </w:r>
      </w:hyperlink>
      <w:r w:rsidRPr="00063C26">
        <w:rPr>
          <w:rFonts w:ascii="Arial" w:hAnsi="Arial" w:cs="Arial"/>
        </w:rPr>
        <w:t xml:space="preserve"> or by using the dialog function in AURORA to communicate with PMB staff.</w:t>
      </w:r>
    </w:p>
    <w:p w14:paraId="41CDB5FF" w14:textId="77777777" w:rsidR="00063C26" w:rsidRPr="00196D1D" w:rsidRDefault="00063C26" w:rsidP="00196D1D">
      <w:pPr>
        <w:rPr>
          <w:rFonts w:ascii="Arial" w:hAnsi="Arial" w:cs="Arial"/>
        </w:rPr>
      </w:pPr>
    </w:p>
    <w:p w14:paraId="3783D2B7" w14:textId="77777777" w:rsidR="00196D1D" w:rsidRPr="00196D1D" w:rsidRDefault="00196D1D" w:rsidP="00665E66">
      <w:pPr>
        <w:keepNext/>
        <w:keepLines/>
        <w:widowControl w:val="0"/>
        <w:ind w:left="360"/>
        <w:contextualSpacing/>
        <w:rPr>
          <w:rFonts w:ascii="Arial" w:hAnsi="Arial" w:cs="Arial"/>
          <w:b/>
          <w:u w:val="single"/>
        </w:rPr>
      </w:pPr>
      <w:r w:rsidRPr="00196D1D">
        <w:rPr>
          <w:rFonts w:ascii="Arial" w:hAnsi="Arial" w:cs="Arial"/>
          <w:b/>
          <w:u w:val="single"/>
        </w:rPr>
        <w:t>Investigator Brochure Availability</w:t>
      </w:r>
    </w:p>
    <w:p w14:paraId="573779FD" w14:textId="77777777" w:rsidR="00196D1D" w:rsidRDefault="00196D1D" w:rsidP="00196D1D">
      <w:pPr>
        <w:rPr>
          <w:rFonts w:ascii="Arial" w:hAnsi="Arial" w:cs="Arial"/>
          <w:bCs/>
          <w:iCs/>
          <w:snapToGrid w:val="0"/>
          <w:color w:val="000000"/>
        </w:rPr>
      </w:pPr>
    </w:p>
    <w:p w14:paraId="7A1A6D93" w14:textId="77777777" w:rsidR="00D13F11" w:rsidRPr="00D13F11" w:rsidRDefault="00D13F11" w:rsidP="00D13F11">
      <w:pPr>
        <w:ind w:left="360"/>
        <w:rPr>
          <w:rFonts w:ascii="Arial" w:hAnsi="Arial" w:cs="Arial"/>
        </w:rPr>
      </w:pPr>
      <w:r w:rsidRPr="00D13F11">
        <w:rPr>
          <w:rFonts w:ascii="Arial" w:hAnsi="Arial" w:cs="Arial"/>
          <w:bCs/>
          <w:iCs/>
        </w:rPr>
        <w:t xml:space="preserve">The current versions of the IBs for the agents will be accessible to site investigators and research staff </w:t>
      </w:r>
      <w:r w:rsidRPr="00D13F11">
        <w:rPr>
          <w:rFonts w:ascii="Arial" w:hAnsi="Arial" w:cs="Arial"/>
        </w:rPr>
        <w:t xml:space="preserve">through the PMB AURORA application.  Access to AURORA requires the establishment of credentials necessary to access secure NCI Clinical Oncology Research </w:t>
      </w:r>
      <w:r w:rsidRPr="00D13F11">
        <w:rPr>
          <w:rFonts w:ascii="Arial" w:hAnsi="Arial" w:cs="Arial"/>
        </w:rPr>
        <w:lastRenderedPageBreak/>
        <w:t>Enterprise (CORE) systems, maintenance of an “active” account status, a “current” password and active person registration status.  Questions about IB access may be directed to the PMB IB Coordinator via email.</w:t>
      </w:r>
    </w:p>
    <w:p w14:paraId="3F3823D7" w14:textId="77777777" w:rsidR="00665E66" w:rsidRDefault="00665E66" w:rsidP="00665E66">
      <w:pPr>
        <w:pStyle w:val="Level4Heading"/>
        <w:numPr>
          <w:ilvl w:val="0"/>
          <w:numId w:val="0"/>
        </w:numPr>
        <w:rPr>
          <w:rFonts w:ascii="Arial" w:hAnsi="Arial" w:cs="Arial"/>
          <w:b/>
          <w:sz w:val="22"/>
          <w:szCs w:val="22"/>
          <w:u w:val="single"/>
        </w:rPr>
      </w:pPr>
    </w:p>
    <w:p w14:paraId="67C3C0C6" w14:textId="77777777" w:rsidR="00196D1D" w:rsidRDefault="00196D1D" w:rsidP="00665E66">
      <w:pPr>
        <w:pStyle w:val="Level4Heading"/>
        <w:numPr>
          <w:ilvl w:val="0"/>
          <w:numId w:val="0"/>
        </w:numPr>
        <w:ind w:firstLine="360"/>
        <w:rPr>
          <w:rFonts w:ascii="Arial" w:hAnsi="Arial" w:cs="Arial"/>
          <w:b/>
          <w:sz w:val="22"/>
          <w:szCs w:val="22"/>
          <w:u w:val="single"/>
        </w:rPr>
      </w:pPr>
      <w:r w:rsidRPr="00196D1D">
        <w:rPr>
          <w:rFonts w:ascii="Arial" w:hAnsi="Arial" w:cs="Arial"/>
          <w:b/>
          <w:sz w:val="22"/>
          <w:szCs w:val="22"/>
          <w:u w:val="single"/>
        </w:rPr>
        <w:t>Useful Links and Contacts</w:t>
      </w:r>
    </w:p>
    <w:p w14:paraId="5BC76BAE" w14:textId="77777777" w:rsidR="00196D1D" w:rsidRDefault="00196D1D" w:rsidP="00196D1D">
      <w:pPr>
        <w:pStyle w:val="ListParagraph"/>
        <w:widowControl w:val="0"/>
        <w:contextualSpacing/>
        <w:rPr>
          <w:rFonts w:ascii="Arial" w:hAnsi="Arial" w:cs="Arial"/>
        </w:rPr>
      </w:pPr>
    </w:p>
    <w:p w14:paraId="0C7AE6CE" w14:textId="77777777" w:rsidR="00312051" w:rsidRPr="00312051" w:rsidRDefault="00312051" w:rsidP="00312051">
      <w:pPr>
        <w:pStyle w:val="ListParagraph"/>
        <w:widowControl w:val="0"/>
        <w:numPr>
          <w:ilvl w:val="0"/>
          <w:numId w:val="37"/>
        </w:numPr>
        <w:contextualSpacing/>
        <w:rPr>
          <w:rFonts w:ascii="Arial" w:hAnsi="Arial" w:cs="Arial"/>
        </w:rPr>
      </w:pPr>
      <w:r w:rsidRPr="00312051">
        <w:rPr>
          <w:rFonts w:ascii="Arial" w:hAnsi="Arial" w:cs="Arial"/>
        </w:rPr>
        <w:t xml:space="preserve">CTEP Forms, Templates, Documents:  </w:t>
      </w:r>
      <w:hyperlink r:id="rId15" w:history="1">
        <w:r w:rsidRPr="00312051">
          <w:rPr>
            <w:rStyle w:val="Hyperlink"/>
            <w:rFonts w:ascii="Arial" w:hAnsi="Arial" w:cs="Arial"/>
          </w:rPr>
          <w:t>http://ctep.cancer.gov/forms/</w:t>
        </w:r>
      </w:hyperlink>
    </w:p>
    <w:p w14:paraId="61F51239" w14:textId="77777777" w:rsidR="00312051" w:rsidRPr="00312051" w:rsidRDefault="00312051" w:rsidP="00312051">
      <w:pPr>
        <w:pStyle w:val="ListParagraph"/>
        <w:widowControl w:val="0"/>
        <w:numPr>
          <w:ilvl w:val="0"/>
          <w:numId w:val="37"/>
        </w:numPr>
        <w:contextualSpacing/>
        <w:rPr>
          <w:rFonts w:ascii="Arial" w:hAnsi="Arial" w:cs="Arial"/>
        </w:rPr>
      </w:pPr>
      <w:r w:rsidRPr="00312051">
        <w:rPr>
          <w:rFonts w:ascii="Arial" w:hAnsi="Arial" w:cs="Arial"/>
        </w:rPr>
        <w:t xml:space="preserve">NCI CTEP Investigator Registration:  </w:t>
      </w:r>
      <w:hyperlink r:id="rId16" w:history="1">
        <w:r w:rsidRPr="00312051">
          <w:rPr>
            <w:rStyle w:val="Hyperlink"/>
            <w:rFonts w:ascii="Arial" w:hAnsi="Arial" w:cs="Arial"/>
          </w:rPr>
          <w:t>RCRHelpDesk@nih.gov</w:t>
        </w:r>
      </w:hyperlink>
    </w:p>
    <w:p w14:paraId="11C9070D" w14:textId="77777777" w:rsidR="00312051" w:rsidRPr="00312051" w:rsidRDefault="00312051" w:rsidP="00312051">
      <w:pPr>
        <w:pStyle w:val="ListParagraph"/>
        <w:widowControl w:val="0"/>
        <w:numPr>
          <w:ilvl w:val="0"/>
          <w:numId w:val="37"/>
        </w:numPr>
        <w:contextualSpacing/>
        <w:rPr>
          <w:rFonts w:ascii="Arial" w:hAnsi="Arial" w:cs="Arial"/>
        </w:rPr>
      </w:pPr>
      <w:r w:rsidRPr="00312051">
        <w:rPr>
          <w:rFonts w:ascii="Arial" w:hAnsi="Arial" w:cs="Arial"/>
        </w:rPr>
        <w:t xml:space="preserve">PMB policies and guidelines: </w:t>
      </w:r>
      <w:hyperlink r:id="rId17" w:history="1">
        <w:r w:rsidRPr="00312051">
          <w:rPr>
            <w:rStyle w:val="Hyperlink"/>
            <w:rFonts w:ascii="Arial" w:hAnsi="Arial" w:cs="Arial"/>
          </w:rPr>
          <w:t>http://ctep.cancer.gov/branches/pmb/agent_management.htm</w:t>
        </w:r>
      </w:hyperlink>
      <w:r w:rsidRPr="00312051">
        <w:rPr>
          <w:rFonts w:ascii="Arial" w:hAnsi="Arial" w:cs="Arial"/>
        </w:rPr>
        <w:t xml:space="preserve"> </w:t>
      </w:r>
    </w:p>
    <w:p w14:paraId="537A95BC" w14:textId="77777777" w:rsidR="00063C26" w:rsidRPr="00063C26" w:rsidRDefault="00063C26" w:rsidP="00063C26">
      <w:pPr>
        <w:pStyle w:val="ListParagraph"/>
        <w:widowControl w:val="0"/>
        <w:numPr>
          <w:ilvl w:val="1"/>
          <w:numId w:val="37"/>
        </w:numPr>
        <w:ind w:left="720"/>
        <w:contextualSpacing/>
        <w:rPr>
          <w:rFonts w:ascii="Arial" w:hAnsi="Arial" w:cs="Arial"/>
        </w:rPr>
      </w:pPr>
      <w:r w:rsidRPr="00063C26">
        <w:rPr>
          <w:rFonts w:ascii="Arial" w:hAnsi="Arial" w:cs="Arial"/>
        </w:rPr>
        <w:t xml:space="preserve">PMB AURORA application: </w:t>
      </w:r>
      <w:hyperlink r:id="rId18" w:history="1">
        <w:r w:rsidRPr="00063C26">
          <w:rPr>
            <w:rStyle w:val="Hyperlink"/>
            <w:rFonts w:ascii="Arial" w:hAnsi="Arial" w:cs="Arial"/>
          </w:rPr>
          <w:t>https://ctepcore.nci.nih.gov/aurora/login</w:t>
        </w:r>
      </w:hyperlink>
    </w:p>
    <w:p w14:paraId="371A770B" w14:textId="77777777" w:rsidR="00312051" w:rsidRPr="00312051" w:rsidRDefault="00312051" w:rsidP="00312051">
      <w:pPr>
        <w:pStyle w:val="ListParagraph"/>
        <w:widowControl w:val="0"/>
        <w:numPr>
          <w:ilvl w:val="0"/>
          <w:numId w:val="37"/>
        </w:numPr>
        <w:contextualSpacing/>
        <w:rPr>
          <w:rFonts w:ascii="Arial" w:hAnsi="Arial" w:cs="Arial"/>
        </w:rPr>
      </w:pPr>
      <w:r w:rsidRPr="00312051">
        <w:rPr>
          <w:rFonts w:ascii="Arial" w:hAnsi="Arial" w:cs="Arial"/>
        </w:rPr>
        <w:t xml:space="preserve">CTEP Identity and Access Management (IAM) account: </w:t>
      </w:r>
      <w:hyperlink r:id="rId19" w:history="1">
        <w:r w:rsidRPr="00312051">
          <w:rPr>
            <w:rStyle w:val="Hyperlink"/>
            <w:rFonts w:ascii="Arial" w:hAnsi="Arial" w:cs="Arial"/>
          </w:rPr>
          <w:t>https://ctepcore.nci.nih.gov/iam/</w:t>
        </w:r>
      </w:hyperlink>
      <w:r w:rsidRPr="00312051">
        <w:rPr>
          <w:rFonts w:ascii="Arial" w:hAnsi="Arial" w:cs="Arial"/>
        </w:rPr>
        <w:t xml:space="preserve"> </w:t>
      </w:r>
    </w:p>
    <w:p w14:paraId="0D55B6A4" w14:textId="77777777" w:rsidR="00312051" w:rsidRPr="00312051" w:rsidRDefault="00312051" w:rsidP="00312051">
      <w:pPr>
        <w:pStyle w:val="ListParagraph"/>
        <w:widowControl w:val="0"/>
        <w:numPr>
          <w:ilvl w:val="0"/>
          <w:numId w:val="37"/>
        </w:numPr>
        <w:contextualSpacing/>
        <w:rPr>
          <w:rFonts w:ascii="Arial" w:hAnsi="Arial" w:cs="Arial"/>
        </w:rPr>
      </w:pPr>
      <w:r w:rsidRPr="00312051">
        <w:rPr>
          <w:rFonts w:ascii="Arial" w:hAnsi="Arial" w:cs="Arial"/>
        </w:rPr>
        <w:t xml:space="preserve">CTEP IAM account help:  </w:t>
      </w:r>
      <w:hyperlink r:id="rId20" w:history="1">
        <w:r w:rsidRPr="00312051">
          <w:rPr>
            <w:rFonts w:ascii="Arial" w:hAnsi="Arial" w:cs="Arial"/>
            <w:color w:val="0000FF"/>
            <w:u w:val="single"/>
          </w:rPr>
          <w:t>ctepreghelp@ctep.nci.nih.gov</w:t>
        </w:r>
      </w:hyperlink>
      <w:r w:rsidRPr="00312051">
        <w:rPr>
          <w:rFonts w:ascii="Arial" w:hAnsi="Arial" w:cs="Arial"/>
          <w:color w:val="0000FF"/>
          <w:u w:val="single"/>
        </w:rPr>
        <w:t xml:space="preserve"> </w:t>
      </w:r>
    </w:p>
    <w:p w14:paraId="2C4C7CA8" w14:textId="77777777" w:rsidR="00312051" w:rsidRPr="00312051" w:rsidRDefault="00312051" w:rsidP="00312051">
      <w:pPr>
        <w:pStyle w:val="ListParagraph"/>
        <w:widowControl w:val="0"/>
        <w:numPr>
          <w:ilvl w:val="0"/>
          <w:numId w:val="37"/>
        </w:numPr>
        <w:contextualSpacing/>
        <w:rPr>
          <w:rFonts w:ascii="Arial" w:hAnsi="Arial" w:cs="Arial"/>
        </w:rPr>
      </w:pPr>
      <w:r w:rsidRPr="00312051">
        <w:rPr>
          <w:rFonts w:ascii="Arial" w:hAnsi="Arial" w:cs="Arial"/>
        </w:rPr>
        <w:t xml:space="preserve">IB Coordinator:  </w:t>
      </w:r>
      <w:hyperlink r:id="rId21" w:history="1">
        <w:r w:rsidRPr="00312051">
          <w:rPr>
            <w:rStyle w:val="Hyperlink"/>
            <w:rFonts w:ascii="Arial" w:hAnsi="Arial" w:cs="Arial"/>
          </w:rPr>
          <w:t>IBCoordinator@mail.nih.gov</w:t>
        </w:r>
      </w:hyperlink>
      <w:r w:rsidRPr="00312051">
        <w:rPr>
          <w:rStyle w:val="Hyperlink"/>
          <w:rFonts w:ascii="Arial" w:hAnsi="Arial" w:cs="Arial"/>
        </w:rPr>
        <w:t xml:space="preserve"> </w:t>
      </w:r>
    </w:p>
    <w:p w14:paraId="0D571306" w14:textId="77777777" w:rsidR="00312051" w:rsidRPr="00312051" w:rsidRDefault="00312051" w:rsidP="00312051">
      <w:pPr>
        <w:pStyle w:val="ListParagraph"/>
        <w:widowControl w:val="0"/>
        <w:numPr>
          <w:ilvl w:val="0"/>
          <w:numId w:val="37"/>
        </w:numPr>
        <w:contextualSpacing/>
        <w:rPr>
          <w:rFonts w:ascii="Arial" w:hAnsi="Arial" w:cs="Arial"/>
        </w:rPr>
      </w:pPr>
      <w:r w:rsidRPr="00312051">
        <w:rPr>
          <w:rFonts w:ascii="Arial" w:hAnsi="Arial" w:cs="Arial"/>
        </w:rPr>
        <w:t xml:space="preserve">PMB email:  </w:t>
      </w:r>
      <w:hyperlink r:id="rId22" w:history="1">
        <w:r w:rsidRPr="00312051">
          <w:rPr>
            <w:rStyle w:val="Hyperlink"/>
            <w:rFonts w:ascii="Arial" w:hAnsi="Arial" w:cs="Arial"/>
          </w:rPr>
          <w:t>PMBAfterHours@mail.nih.gov</w:t>
        </w:r>
      </w:hyperlink>
    </w:p>
    <w:p w14:paraId="6081866C" w14:textId="77777777" w:rsidR="00312051" w:rsidRPr="00312051" w:rsidRDefault="00312051" w:rsidP="00312051">
      <w:pPr>
        <w:pStyle w:val="ListParagraph"/>
        <w:widowControl w:val="0"/>
        <w:numPr>
          <w:ilvl w:val="0"/>
          <w:numId w:val="37"/>
        </w:numPr>
        <w:contextualSpacing/>
        <w:rPr>
          <w:rFonts w:ascii="Arial" w:hAnsi="Arial" w:cs="Arial"/>
        </w:rPr>
      </w:pPr>
      <w:r w:rsidRPr="00312051">
        <w:rPr>
          <w:rFonts w:ascii="Arial" w:hAnsi="Arial" w:cs="Arial"/>
        </w:rPr>
        <w:t>PMB phone and hours of service: (240) 276-6575 Monday through Friday between 8:30 am and 4:30 pm (ET)</w:t>
      </w:r>
    </w:p>
    <w:p w14:paraId="640ED4BE" w14:textId="77777777" w:rsidR="0079506F" w:rsidRPr="00E04395" w:rsidRDefault="0079506F" w:rsidP="00E04395">
      <w:pPr>
        <w:rPr>
          <w:rFonts w:ascii="Arial" w:hAnsi="Arial" w:cs="Arial"/>
        </w:rPr>
      </w:pPr>
    </w:p>
    <w:p w14:paraId="2804725D" w14:textId="780F73E1" w:rsidR="000560D9" w:rsidRDefault="00E04395" w:rsidP="00C565DF">
      <w:pPr>
        <w:pStyle w:val="ListParagraph"/>
        <w:numPr>
          <w:ilvl w:val="0"/>
          <w:numId w:val="2"/>
        </w:numPr>
        <w:contextualSpacing/>
        <w:jc w:val="both"/>
        <w:rPr>
          <w:rFonts w:ascii="Arial" w:hAnsi="Arial" w:cs="Arial"/>
        </w:rPr>
      </w:pPr>
      <w:r>
        <w:rPr>
          <w:rFonts w:ascii="Arial" w:hAnsi="Arial" w:cs="Arial"/>
        </w:rPr>
        <w:t>The protocol must contain language regarding study oversight and data reporting</w:t>
      </w:r>
      <w:r w:rsidR="0057287C">
        <w:rPr>
          <w:rFonts w:ascii="Arial" w:hAnsi="Arial" w:cs="Arial"/>
        </w:rPr>
        <w:t xml:space="preserve"> as agreed upon with the Pharmaceutical Collaborator</w:t>
      </w:r>
      <w:r w:rsidR="009B4582" w:rsidRPr="000560D9">
        <w:rPr>
          <w:rFonts w:ascii="Arial" w:hAnsi="Arial" w:cs="Arial"/>
        </w:rPr>
        <w:t>.</w:t>
      </w:r>
    </w:p>
    <w:p w14:paraId="4DA41E7E" w14:textId="77777777" w:rsidR="000560D9" w:rsidRDefault="000560D9" w:rsidP="000560D9">
      <w:pPr>
        <w:pStyle w:val="ListParagraph"/>
        <w:rPr>
          <w:rFonts w:ascii="Arial" w:hAnsi="Arial" w:cs="Arial"/>
          <w:bCs/>
        </w:rPr>
      </w:pPr>
    </w:p>
    <w:p w14:paraId="2C32B745" w14:textId="77777777" w:rsidR="00E04395" w:rsidRDefault="00E04395" w:rsidP="000560D9">
      <w:pPr>
        <w:pStyle w:val="ListParagraph"/>
        <w:rPr>
          <w:rFonts w:ascii="Arial" w:hAnsi="Arial" w:cs="Arial"/>
          <w:bCs/>
        </w:rPr>
      </w:pPr>
    </w:p>
    <w:p w14:paraId="30AD9055" w14:textId="77777777" w:rsidR="00E04395" w:rsidRPr="002A7775" w:rsidRDefault="002A7775" w:rsidP="00B6732F">
      <w:pPr>
        <w:pStyle w:val="Heading2"/>
        <w:numPr>
          <w:ilvl w:val="0"/>
          <w:numId w:val="0"/>
        </w:numPr>
        <w:ind w:firstLine="360"/>
        <w:rPr>
          <w:rFonts w:ascii="Arial" w:hAnsi="Arial" w:cs="Arial"/>
          <w:sz w:val="22"/>
          <w:szCs w:val="22"/>
        </w:rPr>
      </w:pPr>
      <w:bookmarkStart w:id="3" w:name="_Toc449687190"/>
      <w:r>
        <w:rPr>
          <w:rFonts w:ascii="Arial" w:hAnsi="Arial" w:cs="Arial"/>
          <w:sz w:val="22"/>
          <w:szCs w:val="22"/>
        </w:rPr>
        <w:t>S</w:t>
      </w:r>
      <w:r w:rsidR="00E04395" w:rsidRPr="002A7775">
        <w:rPr>
          <w:rFonts w:ascii="Arial" w:hAnsi="Arial" w:cs="Arial"/>
          <w:sz w:val="22"/>
          <w:szCs w:val="22"/>
        </w:rPr>
        <w:t>tudy Oversight</w:t>
      </w:r>
      <w:bookmarkEnd w:id="3"/>
    </w:p>
    <w:p w14:paraId="0D86E48C" w14:textId="77777777" w:rsidR="002A7775" w:rsidRDefault="002A7775" w:rsidP="002A7775">
      <w:pPr>
        <w:spacing w:after="0" w:line="240" w:lineRule="auto"/>
        <w:rPr>
          <w:rFonts w:ascii="Arial" w:hAnsi="Arial" w:cs="Arial"/>
          <w:bCs/>
        </w:rPr>
      </w:pPr>
    </w:p>
    <w:p w14:paraId="0AFA9645" w14:textId="2DFFC6C3" w:rsidR="00714A6A" w:rsidRPr="002A7775" w:rsidRDefault="00714A6A" w:rsidP="00B6732F">
      <w:pPr>
        <w:ind w:left="360"/>
        <w:rPr>
          <w:rFonts w:ascii="Arial" w:hAnsi="Arial" w:cs="Arial"/>
          <w:bCs/>
        </w:rPr>
      </w:pPr>
      <w:r w:rsidRPr="002A7775">
        <w:rPr>
          <w:rFonts w:ascii="Arial" w:hAnsi="Arial" w:cs="Arial"/>
          <w:bCs/>
        </w:rPr>
        <w:t xml:space="preserve">The Protocol </w:t>
      </w:r>
      <w:r w:rsidR="002A7775">
        <w:rPr>
          <w:rFonts w:ascii="Arial" w:hAnsi="Arial" w:cs="Arial"/>
          <w:bCs/>
        </w:rPr>
        <w:t xml:space="preserve">Clinical </w:t>
      </w:r>
      <w:r w:rsidRPr="002A7775">
        <w:rPr>
          <w:rFonts w:ascii="Arial" w:hAnsi="Arial" w:cs="Arial"/>
          <w:bCs/>
        </w:rPr>
        <w:t xml:space="preserve">Investigator is responsible for monitoring </w:t>
      </w:r>
      <w:r w:rsidR="002A7775">
        <w:rPr>
          <w:rFonts w:ascii="Arial" w:hAnsi="Arial" w:cs="Arial"/>
          <w:bCs/>
        </w:rPr>
        <w:t xml:space="preserve">the conduct and progress of the </w:t>
      </w:r>
      <w:r w:rsidRPr="002A7775">
        <w:rPr>
          <w:rFonts w:ascii="Arial" w:hAnsi="Arial" w:cs="Arial"/>
          <w:bCs/>
        </w:rPr>
        <w:t xml:space="preserve">clinical trial, including the ongoing review of accrual, patient-specific clinical and laboratory data, and routine and serious adverse events; reporting of expedited adverse events; and accumulation of reported adverse events from other trials testing the same </w:t>
      </w:r>
      <w:r w:rsidR="002A7775">
        <w:rPr>
          <w:rFonts w:ascii="Arial" w:hAnsi="Arial" w:cs="Arial"/>
          <w:bCs/>
        </w:rPr>
        <w:t xml:space="preserve">drug(s).  </w:t>
      </w:r>
      <w:r w:rsidR="00DA7CB0">
        <w:rPr>
          <w:rFonts w:ascii="Arial" w:hAnsi="Arial" w:cs="Arial"/>
        </w:rPr>
        <w:t xml:space="preserve">The </w:t>
      </w:r>
      <w:r w:rsidR="00312051">
        <w:rPr>
          <w:rFonts w:ascii="Arial" w:hAnsi="Arial" w:cs="Arial"/>
        </w:rPr>
        <w:t>Institution</w:t>
      </w:r>
      <w:r w:rsidR="00DA7CB0">
        <w:rPr>
          <w:rFonts w:ascii="Arial" w:hAnsi="Arial" w:cs="Arial"/>
        </w:rPr>
        <w:t>/Clinical Investigator sponsor is responsible for reporting all IND required documentation to the FDA in accordance with Sponsor responsibilities per 21 CFR Part 312.</w:t>
      </w:r>
    </w:p>
    <w:p w14:paraId="25B34BBD" w14:textId="77777777" w:rsidR="00E04395" w:rsidRPr="000560D9" w:rsidRDefault="00E04395" w:rsidP="000560D9">
      <w:pPr>
        <w:pStyle w:val="ListParagraph"/>
        <w:rPr>
          <w:rFonts w:ascii="Arial" w:hAnsi="Arial" w:cs="Arial"/>
          <w:bCs/>
        </w:rPr>
      </w:pPr>
    </w:p>
    <w:p w14:paraId="6A6D4BBA" w14:textId="77777777" w:rsidR="00714A6A" w:rsidRDefault="00B458A1" w:rsidP="00D400BB">
      <w:pPr>
        <w:pStyle w:val="ListParagraph"/>
        <w:numPr>
          <w:ilvl w:val="0"/>
          <w:numId w:val="2"/>
        </w:numPr>
        <w:contextualSpacing/>
        <w:jc w:val="both"/>
        <w:rPr>
          <w:rFonts w:ascii="Arial" w:hAnsi="Arial" w:cs="Arial"/>
        </w:rPr>
      </w:pPr>
      <w:r>
        <w:rPr>
          <w:rFonts w:ascii="Arial" w:hAnsi="Arial" w:cs="Arial"/>
        </w:rPr>
        <w:t xml:space="preserve">The protocol must contain the </w:t>
      </w:r>
      <w:r w:rsidR="00714A6A">
        <w:rPr>
          <w:rFonts w:ascii="Arial" w:hAnsi="Arial" w:cs="Arial"/>
        </w:rPr>
        <w:t>Standard Collaborative Agreement Language</w:t>
      </w:r>
      <w:r>
        <w:rPr>
          <w:rFonts w:ascii="Arial" w:hAnsi="Arial" w:cs="Arial"/>
        </w:rPr>
        <w:t>.</w:t>
      </w:r>
    </w:p>
    <w:p w14:paraId="7DFF1601" w14:textId="77777777" w:rsidR="00B458A1" w:rsidRDefault="00B458A1" w:rsidP="00B458A1">
      <w:pPr>
        <w:contextualSpacing/>
        <w:jc w:val="both"/>
        <w:rPr>
          <w:rFonts w:ascii="Arial" w:hAnsi="Arial" w:cs="Arial"/>
        </w:rPr>
      </w:pPr>
    </w:p>
    <w:p w14:paraId="3DFC12BC" w14:textId="77777777" w:rsidR="00B458A1" w:rsidRPr="00B458A1" w:rsidRDefault="00B458A1" w:rsidP="00B6732F">
      <w:pPr>
        <w:ind w:firstLine="360"/>
        <w:contextualSpacing/>
        <w:jc w:val="both"/>
        <w:rPr>
          <w:rFonts w:ascii="Arial" w:hAnsi="Arial" w:cs="Arial"/>
          <w:b/>
        </w:rPr>
      </w:pPr>
      <w:r w:rsidRPr="00B458A1">
        <w:rPr>
          <w:rFonts w:ascii="Arial" w:hAnsi="Arial" w:cs="Arial"/>
          <w:b/>
        </w:rPr>
        <w:t>Collaborative Agreement</w:t>
      </w:r>
      <w:r>
        <w:rPr>
          <w:rFonts w:ascii="Arial" w:hAnsi="Arial" w:cs="Arial"/>
          <w:b/>
        </w:rPr>
        <w:t>(s)</w:t>
      </w:r>
      <w:r w:rsidRPr="00B458A1">
        <w:rPr>
          <w:rFonts w:ascii="Arial" w:hAnsi="Arial" w:cs="Arial"/>
          <w:b/>
        </w:rPr>
        <w:t xml:space="preserve"> </w:t>
      </w:r>
    </w:p>
    <w:p w14:paraId="0A677F35" w14:textId="77777777" w:rsidR="00B458A1" w:rsidRPr="00B458A1" w:rsidRDefault="00B458A1" w:rsidP="00B458A1">
      <w:pPr>
        <w:contextualSpacing/>
        <w:jc w:val="both"/>
        <w:rPr>
          <w:rFonts w:ascii="Arial" w:hAnsi="Arial" w:cs="Arial"/>
        </w:rPr>
      </w:pPr>
    </w:p>
    <w:p w14:paraId="3F87BD9D" w14:textId="77777777" w:rsidR="00B458A1" w:rsidRPr="00B458A1" w:rsidRDefault="00B458A1" w:rsidP="00B6732F">
      <w:pPr>
        <w:widowControl w:val="0"/>
        <w:autoSpaceDE w:val="0"/>
        <w:autoSpaceDN w:val="0"/>
        <w:adjustRightInd w:val="0"/>
        <w:spacing w:after="0" w:line="240" w:lineRule="auto"/>
        <w:ind w:left="360" w:right="72"/>
        <w:rPr>
          <w:rFonts w:ascii="Arial" w:eastAsiaTheme="minorEastAsia" w:hAnsi="Arial" w:cs="Arial"/>
          <w:color w:val="000000"/>
        </w:rPr>
      </w:pPr>
      <w:r w:rsidRPr="00B458A1">
        <w:rPr>
          <w:rFonts w:ascii="Arial" w:eastAsiaTheme="minorEastAsia" w:hAnsi="Arial" w:cs="Arial"/>
          <w:color w:val="000000"/>
        </w:rPr>
        <w:t xml:space="preserve">The </w:t>
      </w:r>
      <w:r w:rsidR="001374F9">
        <w:rPr>
          <w:rFonts w:ascii="Arial" w:eastAsiaTheme="minorEastAsia" w:hAnsi="Arial" w:cs="Arial"/>
          <w:color w:val="000000"/>
        </w:rPr>
        <w:t xml:space="preserve">NCI </w:t>
      </w:r>
      <w:r w:rsidRPr="00B458A1">
        <w:rPr>
          <w:rFonts w:ascii="Arial" w:eastAsiaTheme="minorEastAsia" w:hAnsi="Arial" w:cs="Arial"/>
          <w:color w:val="000000"/>
        </w:rPr>
        <w:t>Formulary Agent(s) supplied by CTEP, DCTD, NCI used in this protocol is/are provided to the NCI under a Cooperative Research and development Agreement CRADA between the Pharmaceutical Company(</w:t>
      </w:r>
      <w:proofErr w:type="spellStart"/>
      <w:r w:rsidRPr="00B458A1">
        <w:rPr>
          <w:rFonts w:ascii="Arial" w:eastAsiaTheme="minorEastAsia" w:hAnsi="Arial" w:cs="Arial"/>
          <w:color w:val="000000"/>
        </w:rPr>
        <w:t>ies</w:t>
      </w:r>
      <w:proofErr w:type="spellEnd"/>
      <w:r w:rsidRPr="00B458A1">
        <w:rPr>
          <w:rFonts w:ascii="Arial" w:eastAsiaTheme="minorEastAsia" w:hAnsi="Arial" w:cs="Arial"/>
          <w:color w:val="000000"/>
        </w:rPr>
        <w:t xml:space="preserve">) (hereinafter referred to as “Collaborator(s)”) and the NCI Division of Cancer Treatment and Diagnosis.  Therefore, in addition to the terms of the NCI Formulary Material Transfer Agreement, including the provisions in the “Intellectual Property Option to Collaborator” the following </w:t>
      </w:r>
      <w:hyperlink r:id="rId23" w:history="1">
        <w:r w:rsidRPr="001374F9">
          <w:rPr>
            <w:rStyle w:val="Hyperlink"/>
            <w:rFonts w:ascii="Arial" w:eastAsiaTheme="minorEastAsia" w:hAnsi="Arial" w:cs="Arial"/>
            <w:b/>
            <w:i/>
          </w:rPr>
          <w:t>obligations/guidelines</w:t>
        </w:r>
      </w:hyperlink>
      <w:r w:rsidRPr="00B458A1">
        <w:rPr>
          <w:rFonts w:ascii="Arial" w:eastAsiaTheme="minorEastAsia" w:hAnsi="Arial" w:cs="Arial"/>
          <w:color w:val="000000"/>
        </w:rPr>
        <w:t xml:space="preserve"> </w:t>
      </w:r>
      <w:r w:rsidR="001374F9">
        <w:rPr>
          <w:rFonts w:ascii="Arial" w:eastAsiaTheme="minorEastAsia" w:hAnsi="Arial" w:cs="Arial"/>
          <w:color w:val="000000"/>
        </w:rPr>
        <w:t>a</w:t>
      </w:r>
      <w:r w:rsidRPr="00B458A1">
        <w:rPr>
          <w:rFonts w:ascii="Arial" w:eastAsiaTheme="minorEastAsia" w:hAnsi="Arial" w:cs="Arial"/>
          <w:color w:val="000000"/>
        </w:rPr>
        <w:t xml:space="preserve">pply to the use of the Formulary Agent(s) in this study: </w:t>
      </w:r>
    </w:p>
    <w:p w14:paraId="55821410" w14:textId="77777777" w:rsidR="00B458A1" w:rsidRPr="00B458A1" w:rsidRDefault="00B458A1" w:rsidP="00B458A1">
      <w:pPr>
        <w:widowControl w:val="0"/>
        <w:autoSpaceDE w:val="0"/>
        <w:autoSpaceDN w:val="0"/>
        <w:adjustRightInd w:val="0"/>
        <w:spacing w:after="0" w:line="240" w:lineRule="auto"/>
        <w:ind w:right="72"/>
        <w:rPr>
          <w:rFonts w:ascii="Arial" w:eastAsiaTheme="minorEastAsia" w:hAnsi="Arial" w:cs="Arial"/>
          <w:color w:val="000000"/>
        </w:rPr>
      </w:pPr>
      <w:r w:rsidRPr="00B458A1">
        <w:rPr>
          <w:rFonts w:ascii="Arial" w:eastAsiaTheme="minorEastAsia" w:hAnsi="Arial" w:cs="Arial"/>
          <w:color w:val="000000"/>
        </w:rPr>
        <w:t xml:space="preserve"> </w:t>
      </w:r>
    </w:p>
    <w:p w14:paraId="7A489675" w14:textId="77777777" w:rsidR="00B458A1" w:rsidRPr="00B458A1" w:rsidRDefault="00B458A1" w:rsidP="00B6732F">
      <w:pPr>
        <w:widowControl w:val="0"/>
        <w:autoSpaceDE w:val="0"/>
        <w:autoSpaceDN w:val="0"/>
        <w:adjustRightInd w:val="0"/>
        <w:spacing w:after="0" w:line="240" w:lineRule="auto"/>
        <w:ind w:left="360" w:right="72"/>
        <w:rPr>
          <w:rFonts w:ascii="Arial" w:eastAsiaTheme="minorEastAsia" w:hAnsi="Arial" w:cs="Arial"/>
          <w:color w:val="000000"/>
        </w:rPr>
      </w:pPr>
      <w:r w:rsidRPr="00B458A1">
        <w:rPr>
          <w:rFonts w:ascii="Arial" w:eastAsiaTheme="minorEastAsia" w:hAnsi="Arial" w:cs="Arial"/>
          <w:color w:val="000000"/>
        </w:rPr>
        <w:t xml:space="preserve">Formulary Agent(s) may not be used for any purpose outside the scope of this protocol, nor </w:t>
      </w:r>
      <w:r w:rsidRPr="00B458A1">
        <w:rPr>
          <w:rFonts w:ascii="Arial" w:eastAsiaTheme="minorEastAsia" w:hAnsi="Arial" w:cs="Arial"/>
          <w:color w:val="000000"/>
        </w:rPr>
        <w:lastRenderedPageBreak/>
        <w:t xml:space="preserve">can Formulary Agent(s) be transferred or licensed to any party not participating in the clinical study.  Collaborator(s) data, including but not limited to the Investigator Brochure, for Formulary Agent(s) are confidential and proprietary to Collaborator(s) and shall be maintained as such by the investigators. The protocol documents for studies utilizing Formulary Agents contain confidential information and should not be shared or distributed without the permission of the NCI.  If a copy of this protocol is requested by a patient or patient’s family member participating on the study, the individual should sign a confidentiality agreement. A suitable model agreement can be downloaded from: http://ctep.cancer.gov. </w:t>
      </w:r>
    </w:p>
    <w:p w14:paraId="4DC0EEE1" w14:textId="77777777" w:rsidR="00B458A1" w:rsidRPr="00B458A1" w:rsidRDefault="00B458A1" w:rsidP="00B458A1">
      <w:pPr>
        <w:widowControl w:val="0"/>
        <w:autoSpaceDE w:val="0"/>
        <w:autoSpaceDN w:val="0"/>
        <w:adjustRightInd w:val="0"/>
        <w:spacing w:after="0" w:line="240" w:lineRule="auto"/>
        <w:ind w:right="72"/>
        <w:rPr>
          <w:rFonts w:ascii="Arial" w:eastAsiaTheme="minorEastAsia" w:hAnsi="Arial" w:cs="Arial"/>
          <w:color w:val="000000"/>
        </w:rPr>
      </w:pPr>
      <w:r w:rsidRPr="00B458A1">
        <w:rPr>
          <w:rFonts w:ascii="Arial" w:eastAsiaTheme="minorEastAsia" w:hAnsi="Arial" w:cs="Arial"/>
          <w:color w:val="000000"/>
        </w:rPr>
        <w:t xml:space="preserve"> </w:t>
      </w:r>
    </w:p>
    <w:p w14:paraId="7D99089F" w14:textId="77777777" w:rsidR="00B458A1" w:rsidRPr="00B458A1" w:rsidRDefault="00B458A1" w:rsidP="00B6732F">
      <w:pPr>
        <w:widowControl w:val="0"/>
        <w:autoSpaceDE w:val="0"/>
        <w:autoSpaceDN w:val="0"/>
        <w:adjustRightInd w:val="0"/>
        <w:spacing w:after="0" w:line="240" w:lineRule="auto"/>
        <w:ind w:left="360" w:right="72"/>
        <w:rPr>
          <w:rFonts w:ascii="Arial" w:eastAsiaTheme="minorEastAsia" w:hAnsi="Arial" w:cs="Arial"/>
          <w:color w:val="000000"/>
        </w:rPr>
      </w:pPr>
      <w:r w:rsidRPr="00B458A1">
        <w:rPr>
          <w:rFonts w:ascii="Arial" w:eastAsiaTheme="minorEastAsia" w:hAnsi="Arial" w:cs="Arial"/>
          <w:color w:val="000000"/>
        </w:rPr>
        <w:t xml:space="preserve">For a clinical protocol where there is a Formulary Agent used in combination with (an)other Formulary Agent(s), each the subject of different CRADAs, the access to and use of data by each Collaborator shall be as follows (data pertaining to such combination use shall hereinafter be referred to as "Multi-Party Data”): </w:t>
      </w:r>
    </w:p>
    <w:p w14:paraId="72ECC8A0" w14:textId="77777777" w:rsidR="00B458A1" w:rsidRPr="00B458A1" w:rsidRDefault="00B458A1" w:rsidP="00B458A1">
      <w:pPr>
        <w:widowControl w:val="0"/>
        <w:autoSpaceDE w:val="0"/>
        <w:autoSpaceDN w:val="0"/>
        <w:adjustRightInd w:val="0"/>
        <w:spacing w:after="0" w:line="240" w:lineRule="auto"/>
        <w:ind w:right="72"/>
        <w:rPr>
          <w:rFonts w:ascii="Arial" w:eastAsiaTheme="minorEastAsia" w:hAnsi="Arial" w:cs="Arial"/>
          <w:color w:val="000000"/>
        </w:rPr>
      </w:pPr>
      <w:r w:rsidRPr="00B458A1">
        <w:rPr>
          <w:rFonts w:ascii="Arial" w:eastAsiaTheme="minorEastAsia" w:hAnsi="Arial" w:cs="Arial"/>
          <w:color w:val="000000"/>
        </w:rPr>
        <w:t xml:space="preserve"> </w:t>
      </w:r>
    </w:p>
    <w:p w14:paraId="00D98E8D" w14:textId="77777777" w:rsidR="00B458A1" w:rsidRDefault="00B458A1" w:rsidP="00B458A1">
      <w:pPr>
        <w:pStyle w:val="ListParagraph"/>
        <w:widowControl w:val="0"/>
        <w:numPr>
          <w:ilvl w:val="0"/>
          <w:numId w:val="29"/>
        </w:numPr>
        <w:autoSpaceDE w:val="0"/>
        <w:autoSpaceDN w:val="0"/>
        <w:adjustRightInd w:val="0"/>
        <w:ind w:right="72"/>
        <w:rPr>
          <w:rFonts w:ascii="Arial" w:eastAsiaTheme="minorEastAsia" w:hAnsi="Arial" w:cs="Arial"/>
          <w:color w:val="000000"/>
        </w:rPr>
      </w:pPr>
      <w:r w:rsidRPr="00B458A1">
        <w:rPr>
          <w:rFonts w:ascii="Arial" w:eastAsiaTheme="minorEastAsia" w:hAnsi="Arial" w:cs="Arial"/>
          <w:color w:val="000000"/>
        </w:rPr>
        <w:t xml:space="preserve">NCI will provide all Collaborators with prior written notice regarding the existence and nature of any agreements governing their collaboration with NCI, and the design of the proposed combination protocol. </w:t>
      </w:r>
    </w:p>
    <w:p w14:paraId="353E6468" w14:textId="77777777" w:rsidR="00B458A1" w:rsidRPr="00B458A1" w:rsidRDefault="00B458A1" w:rsidP="00B458A1">
      <w:pPr>
        <w:pStyle w:val="ListParagraph"/>
        <w:widowControl w:val="0"/>
        <w:numPr>
          <w:ilvl w:val="0"/>
          <w:numId w:val="29"/>
        </w:numPr>
        <w:autoSpaceDE w:val="0"/>
        <w:autoSpaceDN w:val="0"/>
        <w:adjustRightInd w:val="0"/>
        <w:ind w:right="72"/>
        <w:rPr>
          <w:rFonts w:ascii="Arial" w:eastAsiaTheme="minorEastAsia" w:hAnsi="Arial" w:cs="Arial"/>
          <w:color w:val="000000"/>
        </w:rPr>
      </w:pPr>
      <w:r w:rsidRPr="00B458A1">
        <w:rPr>
          <w:rFonts w:ascii="Arial" w:eastAsiaTheme="minorEastAsia" w:hAnsi="Arial" w:cs="Arial"/>
          <w:color w:val="000000"/>
        </w:rPr>
        <w:t xml:space="preserve">Each Collaborator has agreed to permit use of the Multi-Party Data from the clinical trial by any other Collaborator solely to the extent necessary to allow said other Collaborator to develop, obtain regulatory approval or commercialize its own Formulary Agent. </w:t>
      </w:r>
    </w:p>
    <w:p w14:paraId="359EB191" w14:textId="77777777" w:rsidR="00B458A1" w:rsidRPr="00B458A1" w:rsidRDefault="00B458A1" w:rsidP="00B458A1">
      <w:pPr>
        <w:widowControl w:val="0"/>
        <w:autoSpaceDE w:val="0"/>
        <w:autoSpaceDN w:val="0"/>
        <w:adjustRightInd w:val="0"/>
        <w:spacing w:after="0" w:line="240" w:lineRule="auto"/>
        <w:ind w:left="720" w:right="72"/>
        <w:rPr>
          <w:rFonts w:ascii="Arial" w:eastAsiaTheme="minorEastAsia" w:hAnsi="Arial" w:cs="Arial"/>
          <w:color w:val="000000"/>
        </w:rPr>
      </w:pPr>
      <w:r w:rsidRPr="00B458A1">
        <w:rPr>
          <w:rFonts w:ascii="Arial" w:eastAsiaTheme="minorEastAsia" w:hAnsi="Arial" w:cs="Arial"/>
          <w:color w:val="000000"/>
        </w:rPr>
        <w:t xml:space="preserve"> </w:t>
      </w:r>
    </w:p>
    <w:p w14:paraId="240EC71B" w14:textId="77777777" w:rsidR="00B458A1" w:rsidRPr="00B458A1" w:rsidRDefault="00B458A1" w:rsidP="00B6732F">
      <w:pPr>
        <w:widowControl w:val="0"/>
        <w:autoSpaceDE w:val="0"/>
        <w:autoSpaceDN w:val="0"/>
        <w:adjustRightInd w:val="0"/>
        <w:spacing w:after="0" w:line="240" w:lineRule="auto"/>
        <w:ind w:left="360" w:right="72"/>
        <w:rPr>
          <w:rFonts w:ascii="Arial" w:eastAsiaTheme="minorEastAsia" w:hAnsi="Arial" w:cs="Arial"/>
          <w:color w:val="000000"/>
        </w:rPr>
      </w:pPr>
      <w:r w:rsidRPr="00B458A1">
        <w:rPr>
          <w:rFonts w:ascii="Arial" w:eastAsiaTheme="minorEastAsia" w:hAnsi="Arial" w:cs="Arial"/>
          <w:color w:val="000000"/>
        </w:rPr>
        <w:t xml:space="preserve">Clinical Trial Data and Results and Raw Data developed under a Formulary CRADA will be made available to Collaborator(s), the NCI, and the FDA, as appropriate and unless additional disclosure is required by law or court order as described in the IP Option to Collaborator (http://ctep.cancer.gov/industryCollaborations2/intellectual_property.htm). Additionally, all Clinical Data and Results and Raw Data will be collected, used and disclosed consistent with all applicable federal statutes and regulations for the protection of human subjects, including, if applicable, the </w:t>
      </w:r>
      <w:r w:rsidRPr="00B458A1">
        <w:rPr>
          <w:rFonts w:ascii="Arial" w:eastAsiaTheme="minorEastAsia" w:hAnsi="Arial" w:cs="Arial"/>
          <w:i/>
          <w:iCs/>
          <w:color w:val="000000"/>
        </w:rPr>
        <w:t>Standards for Privacy of Individually Identifiable Health Information</w:t>
      </w:r>
      <w:r w:rsidRPr="00B458A1">
        <w:rPr>
          <w:rFonts w:ascii="Arial" w:eastAsiaTheme="minorEastAsia" w:hAnsi="Arial" w:cs="Arial"/>
          <w:color w:val="000000"/>
        </w:rPr>
        <w:t xml:space="preserve"> set forth in 45 C.F.R. Part 164. </w:t>
      </w:r>
    </w:p>
    <w:p w14:paraId="65F9143F" w14:textId="77777777" w:rsidR="00B458A1" w:rsidRPr="00B458A1" w:rsidRDefault="00B458A1" w:rsidP="00B458A1">
      <w:pPr>
        <w:widowControl w:val="0"/>
        <w:autoSpaceDE w:val="0"/>
        <w:autoSpaceDN w:val="0"/>
        <w:adjustRightInd w:val="0"/>
        <w:spacing w:after="0" w:line="240" w:lineRule="auto"/>
        <w:ind w:right="72"/>
        <w:rPr>
          <w:rFonts w:ascii="Arial" w:eastAsiaTheme="minorEastAsia" w:hAnsi="Arial" w:cs="Arial"/>
          <w:color w:val="000000"/>
        </w:rPr>
      </w:pPr>
      <w:r w:rsidRPr="00B458A1">
        <w:rPr>
          <w:rFonts w:ascii="Arial" w:eastAsiaTheme="minorEastAsia" w:hAnsi="Arial" w:cs="Arial"/>
          <w:color w:val="000000"/>
        </w:rPr>
        <w:t xml:space="preserve"> </w:t>
      </w:r>
    </w:p>
    <w:p w14:paraId="1F8AB2FE" w14:textId="77777777" w:rsidR="00B458A1" w:rsidRDefault="00B458A1" w:rsidP="00B6732F">
      <w:pPr>
        <w:widowControl w:val="0"/>
        <w:autoSpaceDE w:val="0"/>
        <w:autoSpaceDN w:val="0"/>
        <w:adjustRightInd w:val="0"/>
        <w:spacing w:after="0" w:line="240" w:lineRule="auto"/>
        <w:ind w:left="360" w:right="72"/>
        <w:rPr>
          <w:rFonts w:ascii="Arial" w:eastAsiaTheme="minorEastAsia" w:hAnsi="Arial" w:cs="Arial"/>
          <w:color w:val="000000"/>
        </w:rPr>
      </w:pPr>
      <w:r w:rsidRPr="00B458A1">
        <w:rPr>
          <w:rFonts w:ascii="Arial" w:eastAsiaTheme="minorEastAsia" w:hAnsi="Arial" w:cs="Arial"/>
          <w:color w:val="000000"/>
        </w:rPr>
        <w:t xml:space="preserve">Any manuscripts or other documents reporting the results of this clinical trial must be provided to CTEP by the principal investigator for immediate delivery to Collaborator(s) for advisory review and comment prior to submission for publication.  Collaborator(s) will have 30 days from the date of receipt for review.  Collaborator shall have the right to request that publication be delayed for up to an additional 30 days in order to ensure that Collaborator’s confidential and proprietary data, in addition to Collaborator(s)’s intellectual property rights, are protected.  Copies of abstracts must be provided to CTEP for forwarding to Collaborator(s) for courtesy review as soon as possible and preferably at least seven (7) days prior to submission, but in any case, prior to presentation at the meeting or publication in the proceedings. Press releases and other media presentations must also be forwarded to CTEP prior to release. Copies of any manuscript, abstract and/or press release/ media </w:t>
      </w:r>
      <w:r>
        <w:rPr>
          <w:rFonts w:ascii="Arial" w:eastAsiaTheme="minorEastAsia" w:hAnsi="Arial" w:cs="Arial"/>
          <w:color w:val="000000"/>
        </w:rPr>
        <w:t>presentation must be sent to</w:t>
      </w:r>
      <w:r w:rsidR="001374F9">
        <w:rPr>
          <w:rFonts w:ascii="Arial" w:eastAsiaTheme="minorEastAsia" w:hAnsi="Arial" w:cs="Arial"/>
          <w:color w:val="000000"/>
        </w:rPr>
        <w:t xml:space="preserve"> </w:t>
      </w:r>
      <w:hyperlink r:id="rId24" w:history="1">
        <w:r w:rsidR="001374F9" w:rsidRPr="001374F9">
          <w:rPr>
            <w:rStyle w:val="Hyperlink"/>
            <w:rFonts w:ascii="Arial" w:eastAsiaTheme="minorEastAsia" w:hAnsi="Arial" w:cs="Arial"/>
            <w:b/>
            <w:i/>
          </w:rPr>
          <w:t>NCI CTEP Publications</w:t>
        </w:r>
      </w:hyperlink>
      <w:r w:rsidR="001374F9">
        <w:rPr>
          <w:rFonts w:ascii="Arial" w:eastAsiaTheme="minorEastAsia" w:hAnsi="Arial" w:cs="Arial"/>
          <w:color w:val="000000"/>
        </w:rPr>
        <w:t xml:space="preserve">. </w:t>
      </w:r>
      <w:r>
        <w:rPr>
          <w:rFonts w:ascii="Arial" w:eastAsiaTheme="minorEastAsia" w:hAnsi="Arial" w:cs="Arial"/>
          <w:color w:val="000000"/>
        </w:rPr>
        <w:t xml:space="preserve"> </w:t>
      </w:r>
    </w:p>
    <w:p w14:paraId="270188A6" w14:textId="77777777" w:rsidR="00B458A1" w:rsidRPr="00B458A1" w:rsidRDefault="00B458A1" w:rsidP="00B458A1">
      <w:pPr>
        <w:widowControl w:val="0"/>
        <w:autoSpaceDE w:val="0"/>
        <w:autoSpaceDN w:val="0"/>
        <w:adjustRightInd w:val="0"/>
        <w:spacing w:after="0" w:line="240" w:lineRule="auto"/>
        <w:ind w:right="72"/>
        <w:jc w:val="center"/>
        <w:rPr>
          <w:rFonts w:ascii="Arial" w:eastAsiaTheme="minorEastAsia" w:hAnsi="Arial" w:cs="Arial"/>
          <w:color w:val="000000"/>
        </w:rPr>
      </w:pPr>
    </w:p>
    <w:p w14:paraId="00E421FF" w14:textId="77777777" w:rsidR="00B458A1" w:rsidRPr="00B458A1" w:rsidRDefault="00B458A1" w:rsidP="00B6732F">
      <w:pPr>
        <w:widowControl w:val="0"/>
        <w:autoSpaceDE w:val="0"/>
        <w:autoSpaceDN w:val="0"/>
        <w:adjustRightInd w:val="0"/>
        <w:spacing w:after="0" w:line="240" w:lineRule="auto"/>
        <w:ind w:left="360" w:right="72"/>
        <w:rPr>
          <w:rFonts w:ascii="Arial" w:eastAsiaTheme="minorEastAsia" w:hAnsi="Arial" w:cs="Arial"/>
          <w:color w:val="000000"/>
        </w:rPr>
      </w:pPr>
      <w:r w:rsidRPr="00B458A1">
        <w:rPr>
          <w:rFonts w:ascii="Arial" w:eastAsiaTheme="minorEastAsia" w:hAnsi="Arial" w:cs="Arial"/>
          <w:color w:val="000000"/>
        </w:rPr>
        <w:t xml:space="preserve">The Regulatory Affairs Branch will then distribute them to Collaborator(s).  No publication, manuscript or other form of public disclosure shall contain any of Collaborator’s confidential/ proprietary information. </w:t>
      </w:r>
    </w:p>
    <w:p w14:paraId="4AF8F75F" w14:textId="77777777" w:rsidR="00B458A1" w:rsidRPr="00B458A1" w:rsidRDefault="00B458A1" w:rsidP="00B458A1">
      <w:pPr>
        <w:rPr>
          <w:rFonts w:ascii="Arial" w:hAnsi="Arial" w:cs="Arial"/>
        </w:rPr>
      </w:pPr>
    </w:p>
    <w:p w14:paraId="4C36D925" w14:textId="77777777" w:rsidR="00B6732F" w:rsidRPr="001374F9" w:rsidRDefault="00B6732F" w:rsidP="00B6732F">
      <w:pPr>
        <w:widowControl w:val="0"/>
        <w:autoSpaceDE w:val="0"/>
        <w:autoSpaceDN w:val="0"/>
        <w:adjustRightInd w:val="0"/>
        <w:spacing w:after="0" w:line="240" w:lineRule="auto"/>
        <w:ind w:right="72"/>
        <w:rPr>
          <w:rFonts w:ascii="Arial" w:eastAsiaTheme="minorEastAsia" w:hAnsi="Arial" w:cs="Arial"/>
          <w:b/>
          <w:color w:val="000000"/>
          <w:sz w:val="28"/>
          <w:szCs w:val="28"/>
          <w:u w:val="single"/>
        </w:rPr>
      </w:pPr>
      <w:r w:rsidRPr="001374F9">
        <w:rPr>
          <w:rFonts w:ascii="Arial" w:eastAsiaTheme="minorEastAsia" w:hAnsi="Arial" w:cs="Arial"/>
          <w:b/>
          <w:color w:val="000000"/>
          <w:sz w:val="28"/>
          <w:szCs w:val="28"/>
          <w:u w:val="single"/>
        </w:rPr>
        <w:t>Informed Consent Document</w:t>
      </w:r>
    </w:p>
    <w:p w14:paraId="6F353961" w14:textId="77777777" w:rsidR="00B458A1" w:rsidRPr="001374F9" w:rsidRDefault="00B458A1" w:rsidP="00B458A1">
      <w:pPr>
        <w:contextualSpacing/>
        <w:jc w:val="both"/>
        <w:rPr>
          <w:rFonts w:ascii="Arial" w:hAnsi="Arial" w:cs="Arial"/>
        </w:rPr>
      </w:pPr>
    </w:p>
    <w:p w14:paraId="67E72F61" w14:textId="77777777" w:rsidR="00714A6A" w:rsidRPr="001374F9" w:rsidRDefault="00DF3090" w:rsidP="00142E2E">
      <w:pPr>
        <w:pStyle w:val="BodyTextIndent"/>
        <w:widowControl/>
        <w:numPr>
          <w:ilvl w:val="0"/>
          <w:numId w:val="35"/>
        </w:numPr>
        <w:tabs>
          <w:tab w:val="clear" w:pos="-1056"/>
          <w:tab w:val="clear" w:pos="-720"/>
          <w:tab w:val="clear" w:pos="0"/>
          <w:tab w:val="clear" w:pos="348"/>
          <w:tab w:val="clear" w:pos="1092"/>
          <w:tab w:val="clear" w:pos="1800"/>
          <w:tab w:val="clear" w:pos="2520"/>
          <w:tab w:val="clear" w:pos="3240"/>
          <w:tab w:val="clear" w:pos="3960"/>
          <w:tab w:val="clear" w:pos="4680"/>
          <w:tab w:val="clear" w:pos="5400"/>
          <w:tab w:val="clear" w:pos="6120"/>
          <w:tab w:val="clear" w:pos="6840"/>
          <w:tab w:val="clear" w:pos="7560"/>
          <w:tab w:val="clear" w:pos="8280"/>
          <w:tab w:val="clear" w:pos="9000"/>
        </w:tabs>
        <w:rPr>
          <w:rFonts w:ascii="Arial" w:hAnsi="Arial" w:cs="Arial"/>
        </w:rPr>
      </w:pPr>
      <w:r w:rsidRPr="001374F9">
        <w:rPr>
          <w:rFonts w:ascii="Arial" w:hAnsi="Arial" w:cs="Arial"/>
        </w:rPr>
        <w:t xml:space="preserve">The informed consent document must </w:t>
      </w:r>
      <w:r w:rsidR="001374F9" w:rsidRPr="001374F9">
        <w:rPr>
          <w:rFonts w:ascii="Arial" w:hAnsi="Arial" w:cs="Arial"/>
        </w:rPr>
        <w:t xml:space="preserve">contain </w:t>
      </w:r>
      <w:r w:rsidRPr="001374F9">
        <w:rPr>
          <w:rFonts w:ascii="Arial" w:hAnsi="Arial" w:cs="Arial"/>
        </w:rPr>
        <w:t>language</w:t>
      </w:r>
      <w:r w:rsidR="001374F9" w:rsidRPr="001374F9">
        <w:rPr>
          <w:rFonts w:ascii="Arial" w:hAnsi="Arial" w:cs="Arial"/>
        </w:rPr>
        <w:t xml:space="preserve"> regarding</w:t>
      </w:r>
      <w:r w:rsidRPr="001374F9">
        <w:rPr>
          <w:rFonts w:ascii="Arial" w:hAnsi="Arial" w:cs="Arial"/>
        </w:rPr>
        <w:t xml:space="preserve"> cost information related to the NCI Formulary agents:</w:t>
      </w:r>
    </w:p>
    <w:p w14:paraId="2B1180DE" w14:textId="77777777" w:rsidR="001374F9" w:rsidRPr="001374F9" w:rsidRDefault="001374F9" w:rsidP="001374F9">
      <w:pPr>
        <w:pStyle w:val="BodyTextIndent"/>
        <w:widowControl/>
        <w:tabs>
          <w:tab w:val="clear" w:pos="-1056"/>
          <w:tab w:val="clear" w:pos="-720"/>
          <w:tab w:val="clear" w:pos="0"/>
          <w:tab w:val="clear" w:pos="348"/>
          <w:tab w:val="clear" w:pos="1092"/>
          <w:tab w:val="clear" w:pos="1800"/>
          <w:tab w:val="clear" w:pos="2520"/>
          <w:tab w:val="clear" w:pos="3240"/>
          <w:tab w:val="clear" w:pos="3960"/>
          <w:tab w:val="clear" w:pos="4680"/>
          <w:tab w:val="clear" w:pos="5400"/>
          <w:tab w:val="clear" w:pos="6120"/>
          <w:tab w:val="clear" w:pos="6840"/>
          <w:tab w:val="clear" w:pos="7560"/>
          <w:tab w:val="clear" w:pos="8280"/>
          <w:tab w:val="clear" w:pos="9000"/>
        </w:tabs>
        <w:ind w:left="720"/>
        <w:rPr>
          <w:rFonts w:ascii="Arial" w:hAnsi="Arial" w:cs="Arial"/>
        </w:rPr>
      </w:pPr>
    </w:p>
    <w:p w14:paraId="59899C50" w14:textId="77777777" w:rsidR="00142E2E" w:rsidRPr="001374F9" w:rsidRDefault="00142E2E" w:rsidP="00DF3090">
      <w:pPr>
        <w:pStyle w:val="ListParagraph"/>
        <w:rPr>
          <w:rFonts w:ascii="Arial" w:hAnsi="Arial" w:cs="Arial"/>
        </w:rPr>
      </w:pPr>
      <w:r w:rsidRPr="001374F9">
        <w:rPr>
          <w:rFonts w:ascii="Arial" w:hAnsi="Arial" w:cs="Arial"/>
        </w:rPr>
        <w:t xml:space="preserve">The </w:t>
      </w:r>
      <w:r w:rsidR="001C256E">
        <w:rPr>
          <w:rStyle w:val="Emphasis"/>
          <w:rFonts w:ascii="Arial" w:hAnsi="Arial" w:cs="Arial"/>
        </w:rPr>
        <w:t>(NCI Formulary</w:t>
      </w:r>
      <w:r w:rsidRPr="001374F9">
        <w:rPr>
          <w:rStyle w:val="Emphasis"/>
          <w:rFonts w:ascii="Arial" w:hAnsi="Arial" w:cs="Arial"/>
        </w:rPr>
        <w:t xml:space="preserve"> agent)</w:t>
      </w:r>
      <w:r w:rsidRPr="001374F9">
        <w:rPr>
          <w:rFonts w:ascii="Arial" w:hAnsi="Arial" w:cs="Arial"/>
        </w:rPr>
        <w:t xml:space="preserve"> will be supplied at no charge while you take part in this study. The cost of getting the </w:t>
      </w:r>
      <w:r w:rsidRPr="001374F9">
        <w:rPr>
          <w:rStyle w:val="Emphasis"/>
          <w:rFonts w:ascii="Arial" w:hAnsi="Arial" w:cs="Arial"/>
        </w:rPr>
        <w:t>(</w:t>
      </w:r>
      <w:r w:rsidR="001C256E">
        <w:rPr>
          <w:rStyle w:val="Emphasis"/>
          <w:rFonts w:ascii="Arial" w:hAnsi="Arial" w:cs="Arial"/>
        </w:rPr>
        <w:t xml:space="preserve">NCI Formulary </w:t>
      </w:r>
      <w:r w:rsidRPr="001374F9">
        <w:rPr>
          <w:rStyle w:val="Emphasis"/>
          <w:rFonts w:ascii="Arial" w:hAnsi="Arial" w:cs="Arial"/>
        </w:rPr>
        <w:t>agent)</w:t>
      </w:r>
      <w:r w:rsidRPr="001374F9">
        <w:rPr>
          <w:rFonts w:ascii="Arial" w:hAnsi="Arial" w:cs="Arial"/>
        </w:rPr>
        <w:t xml:space="preserve"> ready and giving it to you </w:t>
      </w:r>
      <w:r w:rsidRPr="001374F9">
        <w:rPr>
          <w:rStyle w:val="Emphasis"/>
          <w:rFonts w:ascii="Arial" w:hAnsi="Arial" w:cs="Arial"/>
        </w:rPr>
        <w:t xml:space="preserve">(As appropriate, add: “…is also provided at no charge.” Or “…is not paid by the study sponsor so you or your insurance company may have to pay for this.”) </w:t>
      </w:r>
      <w:r w:rsidRPr="001374F9">
        <w:rPr>
          <w:rFonts w:ascii="Arial" w:hAnsi="Arial" w:cs="Arial"/>
        </w:rPr>
        <w:t xml:space="preserve">It is possible that the </w:t>
      </w:r>
      <w:r w:rsidR="001C256E">
        <w:rPr>
          <w:rStyle w:val="Emphasis"/>
          <w:rFonts w:ascii="Arial" w:hAnsi="Arial" w:cs="Arial"/>
        </w:rPr>
        <w:t>(NCI Formulary</w:t>
      </w:r>
      <w:r w:rsidRPr="001374F9">
        <w:rPr>
          <w:rStyle w:val="Emphasis"/>
          <w:rFonts w:ascii="Arial" w:hAnsi="Arial" w:cs="Arial"/>
        </w:rPr>
        <w:t xml:space="preserve"> agent) </w:t>
      </w:r>
      <w:r w:rsidRPr="001374F9">
        <w:rPr>
          <w:rFonts w:ascii="Arial" w:hAnsi="Arial" w:cs="Arial"/>
        </w:rPr>
        <w:t>may not continue to be supplied while you are on the study. Although not likely, if this occurs, your study doctor will talk to you about your options.</w:t>
      </w:r>
    </w:p>
    <w:p w14:paraId="0F3E96D6" w14:textId="77777777" w:rsidR="00DF3090" w:rsidRPr="001374F9" w:rsidRDefault="00DF3090" w:rsidP="00DF3090">
      <w:pPr>
        <w:pStyle w:val="ListParagraph"/>
        <w:rPr>
          <w:rFonts w:ascii="Arial" w:hAnsi="Arial" w:cs="Arial"/>
        </w:rPr>
      </w:pPr>
    </w:p>
    <w:p w14:paraId="6F2D4730" w14:textId="77777777" w:rsidR="00632D3A" w:rsidRPr="001374F9" w:rsidRDefault="00DF3090" w:rsidP="00DF3090">
      <w:pPr>
        <w:pStyle w:val="BodyTextIndent"/>
        <w:widowControl/>
        <w:numPr>
          <w:ilvl w:val="0"/>
          <w:numId w:val="35"/>
        </w:numPr>
        <w:tabs>
          <w:tab w:val="clear" w:pos="-1056"/>
          <w:tab w:val="clear" w:pos="-720"/>
          <w:tab w:val="clear" w:pos="0"/>
          <w:tab w:val="clear" w:pos="348"/>
          <w:tab w:val="clear" w:pos="1092"/>
          <w:tab w:val="clear" w:pos="1800"/>
          <w:tab w:val="clear" w:pos="2520"/>
          <w:tab w:val="clear" w:pos="3240"/>
          <w:tab w:val="clear" w:pos="3960"/>
          <w:tab w:val="clear" w:pos="4680"/>
          <w:tab w:val="clear" w:pos="5400"/>
          <w:tab w:val="clear" w:pos="6120"/>
          <w:tab w:val="clear" w:pos="6840"/>
          <w:tab w:val="clear" w:pos="7560"/>
          <w:tab w:val="clear" w:pos="8280"/>
          <w:tab w:val="clear" w:pos="9000"/>
        </w:tabs>
        <w:rPr>
          <w:rFonts w:ascii="Arial" w:hAnsi="Arial" w:cs="Arial"/>
          <w:sz w:val="22"/>
          <w:szCs w:val="22"/>
        </w:rPr>
      </w:pPr>
      <w:r w:rsidRPr="001374F9">
        <w:rPr>
          <w:rFonts w:ascii="Arial" w:hAnsi="Arial" w:cs="Arial"/>
          <w:sz w:val="22"/>
          <w:szCs w:val="22"/>
        </w:rPr>
        <w:t>The informed consent must contain language related to sharing of information.</w:t>
      </w:r>
    </w:p>
    <w:p w14:paraId="3710E62A" w14:textId="77777777" w:rsidR="00632D3A" w:rsidRPr="00632D3A" w:rsidRDefault="00632D3A" w:rsidP="00632D3A">
      <w:pPr>
        <w:pStyle w:val="BodyTextIndent"/>
        <w:widowControl/>
        <w:tabs>
          <w:tab w:val="clear" w:pos="-1056"/>
          <w:tab w:val="clear" w:pos="-720"/>
          <w:tab w:val="clear" w:pos="0"/>
          <w:tab w:val="clear" w:pos="348"/>
          <w:tab w:val="clear" w:pos="1092"/>
          <w:tab w:val="clear" w:pos="1800"/>
          <w:tab w:val="clear" w:pos="2520"/>
          <w:tab w:val="clear" w:pos="3240"/>
          <w:tab w:val="clear" w:pos="3960"/>
          <w:tab w:val="clear" w:pos="4680"/>
          <w:tab w:val="clear" w:pos="5400"/>
          <w:tab w:val="clear" w:pos="6120"/>
          <w:tab w:val="clear" w:pos="6840"/>
          <w:tab w:val="clear" w:pos="7560"/>
          <w:tab w:val="clear" w:pos="8280"/>
          <w:tab w:val="clear" w:pos="9000"/>
        </w:tabs>
        <w:ind w:left="720"/>
        <w:rPr>
          <w:rFonts w:ascii="Arial" w:hAnsi="Arial" w:cs="Arial"/>
          <w:sz w:val="22"/>
          <w:szCs w:val="22"/>
        </w:rPr>
      </w:pPr>
    </w:p>
    <w:p w14:paraId="1E5A9820" w14:textId="77777777" w:rsidR="00DF3090" w:rsidRPr="00632D3A" w:rsidRDefault="00632D3A" w:rsidP="00632D3A">
      <w:pPr>
        <w:pStyle w:val="BodyTextIndent"/>
        <w:widowControl/>
        <w:tabs>
          <w:tab w:val="clear" w:pos="-1056"/>
          <w:tab w:val="clear" w:pos="-720"/>
          <w:tab w:val="clear" w:pos="0"/>
          <w:tab w:val="clear" w:pos="348"/>
          <w:tab w:val="clear" w:pos="1092"/>
          <w:tab w:val="clear" w:pos="1800"/>
          <w:tab w:val="clear" w:pos="2520"/>
          <w:tab w:val="clear" w:pos="3240"/>
          <w:tab w:val="clear" w:pos="3960"/>
          <w:tab w:val="clear" w:pos="4680"/>
          <w:tab w:val="clear" w:pos="5400"/>
          <w:tab w:val="clear" w:pos="6120"/>
          <w:tab w:val="clear" w:pos="6840"/>
          <w:tab w:val="clear" w:pos="7560"/>
          <w:tab w:val="clear" w:pos="8280"/>
          <w:tab w:val="clear" w:pos="9000"/>
        </w:tabs>
        <w:ind w:left="720"/>
        <w:rPr>
          <w:rFonts w:ascii="Arial" w:hAnsi="Arial" w:cs="Arial"/>
          <w:sz w:val="22"/>
          <w:szCs w:val="22"/>
        </w:rPr>
      </w:pPr>
      <w:r w:rsidRPr="00632D3A">
        <w:rPr>
          <w:rFonts w:ascii="Arial" w:hAnsi="Arial" w:cs="Arial"/>
          <w:sz w:val="22"/>
          <w:szCs w:val="22"/>
        </w:rPr>
        <w:t>The informed consent must clearly state the NCI and the NCI Pharmaceutical Company Collaborator will have access to all study data</w:t>
      </w:r>
      <w:r w:rsidR="00DF3090" w:rsidRPr="00632D3A">
        <w:rPr>
          <w:rFonts w:ascii="Arial" w:hAnsi="Arial" w:cs="Arial"/>
          <w:sz w:val="22"/>
          <w:szCs w:val="22"/>
        </w:rPr>
        <w:t xml:space="preserve"> </w:t>
      </w:r>
      <w:r w:rsidRPr="00632D3A">
        <w:rPr>
          <w:rFonts w:ascii="Arial" w:hAnsi="Arial" w:cs="Arial"/>
          <w:sz w:val="22"/>
          <w:szCs w:val="22"/>
        </w:rPr>
        <w:t xml:space="preserve">for </w:t>
      </w:r>
      <w:r>
        <w:rPr>
          <w:rFonts w:ascii="Arial" w:hAnsi="Arial" w:cs="Arial"/>
          <w:sz w:val="22"/>
          <w:szCs w:val="22"/>
        </w:rPr>
        <w:t>regulatory purposes.</w:t>
      </w:r>
    </w:p>
    <w:p w14:paraId="148AC650" w14:textId="77777777" w:rsidR="00632D3A" w:rsidRPr="00632D3A" w:rsidRDefault="00632D3A" w:rsidP="00632D3A">
      <w:pPr>
        <w:tabs>
          <w:tab w:val="left" w:pos="900"/>
        </w:tabs>
        <w:rPr>
          <w:rFonts w:ascii="Arial" w:eastAsia="Calibri" w:hAnsi="Arial" w:cs="Arial"/>
          <w:bCs/>
        </w:rPr>
      </w:pPr>
    </w:p>
    <w:p w14:paraId="2AE6B7DE" w14:textId="77777777" w:rsidR="00632D3A" w:rsidRDefault="00632D3A" w:rsidP="00632D3A">
      <w:pPr>
        <w:pStyle w:val="BodyTextIndent"/>
        <w:widowControl/>
        <w:tabs>
          <w:tab w:val="clear" w:pos="-1056"/>
          <w:tab w:val="clear" w:pos="-720"/>
          <w:tab w:val="clear" w:pos="0"/>
          <w:tab w:val="clear" w:pos="348"/>
          <w:tab w:val="clear" w:pos="1092"/>
          <w:tab w:val="clear" w:pos="1800"/>
          <w:tab w:val="clear" w:pos="2520"/>
          <w:tab w:val="clear" w:pos="3240"/>
          <w:tab w:val="clear" w:pos="3960"/>
          <w:tab w:val="clear" w:pos="4680"/>
          <w:tab w:val="clear" w:pos="5400"/>
          <w:tab w:val="clear" w:pos="6120"/>
          <w:tab w:val="clear" w:pos="6840"/>
          <w:tab w:val="clear" w:pos="7560"/>
          <w:tab w:val="clear" w:pos="8280"/>
          <w:tab w:val="clear" w:pos="9000"/>
        </w:tabs>
        <w:ind w:left="360"/>
      </w:pPr>
    </w:p>
    <w:p w14:paraId="70287A17" w14:textId="77777777" w:rsidR="00DF3090" w:rsidRDefault="00DF3090" w:rsidP="00632D3A">
      <w:pPr>
        <w:pStyle w:val="BodyTextIndent"/>
        <w:widowControl/>
        <w:tabs>
          <w:tab w:val="clear" w:pos="-1056"/>
          <w:tab w:val="clear" w:pos="-720"/>
          <w:tab w:val="clear" w:pos="0"/>
          <w:tab w:val="clear" w:pos="348"/>
          <w:tab w:val="clear" w:pos="1092"/>
          <w:tab w:val="clear" w:pos="1800"/>
          <w:tab w:val="clear" w:pos="2520"/>
          <w:tab w:val="clear" w:pos="3240"/>
          <w:tab w:val="clear" w:pos="3960"/>
          <w:tab w:val="clear" w:pos="4680"/>
          <w:tab w:val="clear" w:pos="5400"/>
          <w:tab w:val="clear" w:pos="6120"/>
          <w:tab w:val="clear" w:pos="6840"/>
          <w:tab w:val="clear" w:pos="7560"/>
          <w:tab w:val="clear" w:pos="8280"/>
          <w:tab w:val="clear" w:pos="9000"/>
        </w:tabs>
        <w:ind w:left="0"/>
      </w:pPr>
    </w:p>
    <w:p w14:paraId="5BE0B845" w14:textId="77777777" w:rsidR="00142E2E" w:rsidRPr="00142E2E" w:rsidRDefault="00142E2E" w:rsidP="00DF3090">
      <w:pPr>
        <w:pStyle w:val="BodyTextIndent"/>
        <w:widowControl/>
        <w:tabs>
          <w:tab w:val="clear" w:pos="-1056"/>
          <w:tab w:val="clear" w:pos="-720"/>
          <w:tab w:val="clear" w:pos="0"/>
          <w:tab w:val="clear" w:pos="348"/>
          <w:tab w:val="clear" w:pos="1092"/>
          <w:tab w:val="clear" w:pos="1800"/>
          <w:tab w:val="clear" w:pos="2520"/>
          <w:tab w:val="clear" w:pos="3240"/>
          <w:tab w:val="clear" w:pos="3960"/>
          <w:tab w:val="clear" w:pos="4680"/>
          <w:tab w:val="clear" w:pos="5400"/>
          <w:tab w:val="clear" w:pos="6120"/>
          <w:tab w:val="clear" w:pos="6840"/>
          <w:tab w:val="clear" w:pos="7560"/>
          <w:tab w:val="clear" w:pos="8280"/>
          <w:tab w:val="clear" w:pos="9000"/>
        </w:tabs>
        <w:ind w:left="0"/>
      </w:pPr>
    </w:p>
    <w:sectPr w:rsidR="00142E2E" w:rsidRPr="00142E2E">
      <w:head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AEC1C" w14:textId="77777777" w:rsidR="00C17085" w:rsidRDefault="00C17085" w:rsidP="00C17085">
      <w:pPr>
        <w:spacing w:after="0" w:line="240" w:lineRule="auto"/>
      </w:pPr>
      <w:r>
        <w:separator/>
      </w:r>
    </w:p>
  </w:endnote>
  <w:endnote w:type="continuationSeparator" w:id="0">
    <w:p w14:paraId="539266E7" w14:textId="77777777" w:rsidR="00C17085" w:rsidRDefault="00C17085" w:rsidP="00C170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A08E8" w14:textId="77777777" w:rsidR="00C17085" w:rsidRDefault="00C17085" w:rsidP="00C17085">
      <w:pPr>
        <w:spacing w:after="0" w:line="240" w:lineRule="auto"/>
      </w:pPr>
      <w:r>
        <w:separator/>
      </w:r>
    </w:p>
  </w:footnote>
  <w:footnote w:type="continuationSeparator" w:id="0">
    <w:p w14:paraId="4260D308" w14:textId="77777777" w:rsidR="00C17085" w:rsidRDefault="00C17085" w:rsidP="00C170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61E54" w14:textId="77777777" w:rsidR="009A53A2" w:rsidRPr="009A53A2" w:rsidRDefault="009A53A2" w:rsidP="009A53A2">
    <w:pPr>
      <w:widowControl w:val="0"/>
      <w:autoSpaceDE w:val="0"/>
      <w:autoSpaceDN w:val="0"/>
      <w:adjustRightInd w:val="0"/>
      <w:spacing w:after="0" w:line="240" w:lineRule="auto"/>
      <w:ind w:right="72"/>
      <w:jc w:val="center"/>
      <w:rPr>
        <w:rFonts w:ascii="Arial" w:eastAsiaTheme="minorEastAsia" w:hAnsi="Arial" w:cs="Arial"/>
        <w:color w:val="000000"/>
        <w:sz w:val="28"/>
        <w:szCs w:val="28"/>
      </w:rPr>
    </w:pPr>
    <w:r w:rsidRPr="009A53A2">
      <w:rPr>
        <w:rFonts w:ascii="Arial" w:eastAsiaTheme="minorEastAsia" w:hAnsi="Arial" w:cs="Arial"/>
        <w:b/>
        <w:color w:val="000000"/>
        <w:sz w:val="28"/>
        <w:szCs w:val="28"/>
      </w:rPr>
      <w:t xml:space="preserve">Required NCI Standard Language to be incorporated into all NCI Formulary </w:t>
    </w:r>
    <w:r w:rsidRPr="009A53A2">
      <w:rPr>
        <w:rFonts w:ascii="Arial" w:eastAsiaTheme="minorEastAsia" w:hAnsi="Arial" w:cs="Arial"/>
        <w:b/>
        <w:caps/>
        <w:color w:val="000000"/>
        <w:sz w:val="28"/>
        <w:szCs w:val="28"/>
      </w:rPr>
      <w:t>A</w:t>
    </w:r>
    <w:r w:rsidRPr="009A53A2">
      <w:rPr>
        <w:rFonts w:ascii="Arial" w:eastAsiaTheme="minorEastAsia" w:hAnsi="Arial" w:cs="Arial"/>
        <w:b/>
        <w:color w:val="000000"/>
        <w:sz w:val="28"/>
        <w:szCs w:val="28"/>
      </w:rPr>
      <w:t>gent Protocols</w:t>
    </w:r>
    <w:r w:rsidR="00AE11B8">
      <w:rPr>
        <w:rFonts w:ascii="Arial" w:eastAsiaTheme="minorEastAsia" w:hAnsi="Arial" w:cs="Arial"/>
        <w:b/>
        <w:color w:val="000000"/>
        <w:sz w:val="28"/>
        <w:szCs w:val="28"/>
      </w:rPr>
      <w:t xml:space="preserve"> and Informed Consents</w:t>
    </w:r>
  </w:p>
  <w:p w14:paraId="5B466DF5" w14:textId="77777777" w:rsidR="009A53A2" w:rsidRPr="009A53A2" w:rsidRDefault="009A53A2" w:rsidP="009A53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A3FFF"/>
    <w:multiLevelType w:val="hybridMultilevel"/>
    <w:tmpl w:val="DA3CE886"/>
    <w:lvl w:ilvl="0" w:tplc="1A5A77F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C57624"/>
    <w:multiLevelType w:val="hybridMultilevel"/>
    <w:tmpl w:val="98D21B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F2444C"/>
    <w:multiLevelType w:val="hybridMultilevel"/>
    <w:tmpl w:val="98D21B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911ABB"/>
    <w:multiLevelType w:val="hybridMultilevel"/>
    <w:tmpl w:val="642A2212"/>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C0600BE"/>
    <w:multiLevelType w:val="multilevel"/>
    <w:tmpl w:val="DC949950"/>
    <w:styleLink w:val="NumberingList"/>
    <w:lvl w:ilvl="0">
      <w:start w:val="1"/>
      <w:numFmt w:val="decimal"/>
      <w:pStyle w:val="Heading1"/>
      <w:lvlText w:val="%1."/>
      <w:lvlJc w:val="left"/>
      <w:pPr>
        <w:ind w:left="360" w:hanging="360"/>
      </w:pPr>
      <w:rPr>
        <w:rFonts w:ascii="Times New Roman" w:hAnsi="Times New Roman" w:hint="default"/>
        <w:b/>
        <w:color w:val="000000"/>
        <w:sz w:val="24"/>
      </w:rPr>
    </w:lvl>
    <w:lvl w:ilvl="1">
      <w:start w:val="1"/>
      <w:numFmt w:val="decimal"/>
      <w:pStyle w:val="Heading2"/>
      <w:lvlText w:val="%1.%2"/>
      <w:lvlJc w:val="left"/>
      <w:pPr>
        <w:ind w:left="720" w:hanging="720"/>
      </w:pPr>
      <w:rPr>
        <w:rFonts w:ascii="Times New Roman" w:hAnsi="Times New Roman" w:hint="default"/>
        <w:b/>
        <w:i w:val="0"/>
        <w:color w:val="000000"/>
        <w:sz w:val="24"/>
        <w:u w:val="none"/>
      </w:rPr>
    </w:lvl>
    <w:lvl w:ilvl="2">
      <w:start w:val="1"/>
      <w:numFmt w:val="decimal"/>
      <w:pStyle w:val="Level3Heading"/>
      <w:lvlText w:val="%1.%2.%3"/>
      <w:lvlJc w:val="left"/>
      <w:pPr>
        <w:ind w:left="720" w:hanging="720"/>
      </w:pPr>
      <w:rPr>
        <w:rFonts w:ascii="Times New Roman" w:hAnsi="Times New Roman" w:hint="default"/>
        <w:b w:val="0"/>
        <w:i w:val="0"/>
        <w:color w:val="000000"/>
        <w:sz w:val="24"/>
        <w:u w:val="none"/>
      </w:rPr>
    </w:lvl>
    <w:lvl w:ilvl="3">
      <w:start w:val="1"/>
      <w:numFmt w:val="decimal"/>
      <w:pStyle w:val="Level4Heading"/>
      <w:lvlText w:val="%1.%2.%3.%4"/>
      <w:lvlJc w:val="left"/>
      <w:pPr>
        <w:ind w:left="1080" w:hanging="1080"/>
      </w:pPr>
      <w:rPr>
        <w:rFonts w:ascii="Times New Roman" w:hAnsi="Times New Roman" w:hint="default"/>
        <w:b w:val="0"/>
        <w:i w:val="0"/>
        <w:color w:val="000000"/>
        <w:sz w:val="24"/>
        <w:u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DDA2254"/>
    <w:multiLevelType w:val="hybridMultilevel"/>
    <w:tmpl w:val="6AA49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E83CCD"/>
    <w:multiLevelType w:val="hybridMultilevel"/>
    <w:tmpl w:val="9182B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E11D40"/>
    <w:multiLevelType w:val="hybridMultilevel"/>
    <w:tmpl w:val="96408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9E78DF"/>
    <w:multiLevelType w:val="multilevel"/>
    <w:tmpl w:val="DC949950"/>
    <w:numStyleLink w:val="NumberingList"/>
  </w:abstractNum>
  <w:abstractNum w:abstractNumId="9" w15:restartNumberingAfterBreak="0">
    <w:nsid w:val="1C6F7230"/>
    <w:multiLevelType w:val="hybridMultilevel"/>
    <w:tmpl w:val="DB2CA328"/>
    <w:lvl w:ilvl="0" w:tplc="7C2E92F8">
      <w:start w:val="1"/>
      <w:numFmt w:val="bullet"/>
      <w:lvlText w:val=""/>
      <w:lvlJc w:val="left"/>
      <w:pPr>
        <w:tabs>
          <w:tab w:val="num" w:pos="432"/>
        </w:tabs>
        <w:ind w:left="-27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AC15FD"/>
    <w:multiLevelType w:val="hybridMultilevel"/>
    <w:tmpl w:val="833C1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EA54B1"/>
    <w:multiLevelType w:val="hybridMultilevel"/>
    <w:tmpl w:val="C214F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5B2AB2"/>
    <w:multiLevelType w:val="hybridMultilevel"/>
    <w:tmpl w:val="F50A107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7874B1"/>
    <w:multiLevelType w:val="hybridMultilevel"/>
    <w:tmpl w:val="0E008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8A6915"/>
    <w:multiLevelType w:val="hybridMultilevel"/>
    <w:tmpl w:val="151066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3CB5E18"/>
    <w:multiLevelType w:val="hybridMultilevel"/>
    <w:tmpl w:val="ED16F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BD4BE8"/>
    <w:multiLevelType w:val="hybridMultilevel"/>
    <w:tmpl w:val="C8D40C5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4F9788F"/>
    <w:multiLevelType w:val="hybridMultilevel"/>
    <w:tmpl w:val="D3086F2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A06C06"/>
    <w:multiLevelType w:val="hybridMultilevel"/>
    <w:tmpl w:val="C31E07A2"/>
    <w:lvl w:ilvl="0" w:tplc="1A5A77F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67D0FCF"/>
    <w:multiLevelType w:val="hybridMultilevel"/>
    <w:tmpl w:val="A648BC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1011EA"/>
    <w:multiLevelType w:val="hybridMultilevel"/>
    <w:tmpl w:val="F06C0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C3683D"/>
    <w:multiLevelType w:val="hybridMultilevel"/>
    <w:tmpl w:val="8C8EB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BB784E"/>
    <w:multiLevelType w:val="hybridMultilevel"/>
    <w:tmpl w:val="10CE1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F342F1"/>
    <w:multiLevelType w:val="hybridMultilevel"/>
    <w:tmpl w:val="D0F000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190932"/>
    <w:multiLevelType w:val="hybridMultilevel"/>
    <w:tmpl w:val="39C6B7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1183CEC"/>
    <w:multiLevelType w:val="hybridMultilevel"/>
    <w:tmpl w:val="1B7240A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4190B0E"/>
    <w:multiLevelType w:val="multilevel"/>
    <w:tmpl w:val="5C8016B8"/>
    <w:styleLink w:val="Style1"/>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296" w:hanging="1296"/>
      </w:pPr>
      <w:rPr>
        <w:rFonts w:hint="default"/>
      </w:rPr>
    </w:lvl>
    <w:lvl w:ilvl="5">
      <w:start w:val="1"/>
      <w:numFmt w:val="decimal"/>
      <w:lvlText w:val="%1.%2.%3.%4.%5.%6"/>
      <w:lvlJc w:val="left"/>
      <w:pPr>
        <w:ind w:left="1728" w:hanging="1728"/>
      </w:pPr>
      <w:rPr>
        <w:rFonts w:hint="default"/>
      </w:rPr>
    </w:lvl>
    <w:lvl w:ilvl="6">
      <w:start w:val="1"/>
      <w:numFmt w:val="decimal"/>
      <w:lvlText w:val="%1.%2.%3.%4.%5.%6.%7"/>
      <w:lvlJc w:val="left"/>
      <w:pPr>
        <w:ind w:left="1584" w:hanging="1584"/>
      </w:pPr>
      <w:rPr>
        <w:rFonts w:hint="default"/>
      </w:rPr>
    </w:lvl>
    <w:lvl w:ilvl="7">
      <w:start w:val="1"/>
      <w:numFmt w:val="decimal"/>
      <w:lvlText w:val="%1.%2.%3.%4.%5.%6.%7.%8"/>
      <w:lvlJc w:val="left"/>
      <w:pPr>
        <w:ind w:left="1728" w:hanging="1728"/>
      </w:pPr>
      <w:rPr>
        <w:rFonts w:hint="default"/>
      </w:rPr>
    </w:lvl>
    <w:lvl w:ilvl="8">
      <w:start w:val="1"/>
      <w:numFmt w:val="decimal"/>
      <w:lvlText w:val="%1.%2.%3.%4.%5.%6.%7.%8.%9"/>
      <w:lvlJc w:val="left"/>
      <w:pPr>
        <w:ind w:left="1872" w:hanging="1872"/>
      </w:pPr>
      <w:rPr>
        <w:rFonts w:hint="default"/>
      </w:rPr>
    </w:lvl>
  </w:abstractNum>
  <w:abstractNum w:abstractNumId="27" w15:restartNumberingAfterBreak="0">
    <w:nsid w:val="58B32590"/>
    <w:multiLevelType w:val="multilevel"/>
    <w:tmpl w:val="984C1FBA"/>
    <w:lvl w:ilvl="0">
      <w:start w:val="8"/>
      <w:numFmt w:val="decimal"/>
      <w:lvlText w:val="%1"/>
      <w:lvlJc w:val="left"/>
      <w:pPr>
        <w:ind w:left="480" w:hanging="480"/>
      </w:pPr>
      <w:rPr>
        <w:rFonts w:hint="default"/>
      </w:rPr>
    </w:lvl>
    <w:lvl w:ilvl="1">
      <w:start w:val="1"/>
      <w:numFmt w:val="bullet"/>
      <w:lvlText w:val=""/>
      <w:lvlJc w:val="left"/>
      <w:pPr>
        <w:ind w:left="480" w:hanging="480"/>
      </w:pPr>
      <w:rPr>
        <w:rFonts w:ascii="Symbol" w:hAnsi="Symbol" w:hint="default"/>
      </w:rPr>
    </w:lvl>
    <w:lvl w:ilvl="2">
      <w:start w:val="3"/>
      <w:numFmt w:val="decimal"/>
      <w:lvlText w:val="%1.%2.%3"/>
      <w:lvlJc w:val="left"/>
      <w:pPr>
        <w:ind w:left="720" w:hanging="720"/>
      </w:pPr>
      <w:rPr>
        <w:rFonts w:hint="default"/>
      </w:rPr>
    </w:lvl>
    <w:lvl w:ilvl="3">
      <w:start w:val="1"/>
      <w:numFmt w:val="bullet"/>
      <w:lvlText w:val=""/>
      <w:lvlJc w:val="left"/>
      <w:pPr>
        <w:ind w:left="720" w:hanging="72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EF10685"/>
    <w:multiLevelType w:val="hybridMultilevel"/>
    <w:tmpl w:val="BB2AB90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3FC16E3"/>
    <w:multiLevelType w:val="hybridMultilevel"/>
    <w:tmpl w:val="673AB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2E3C74"/>
    <w:multiLevelType w:val="hybridMultilevel"/>
    <w:tmpl w:val="DEDE88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E241F2D"/>
    <w:multiLevelType w:val="hybridMultilevel"/>
    <w:tmpl w:val="31DC1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C73B22"/>
    <w:multiLevelType w:val="hybridMultilevel"/>
    <w:tmpl w:val="89586B60"/>
    <w:lvl w:ilvl="0" w:tplc="76B2F87C">
      <w:start w:val="1"/>
      <w:numFmt w:val="bullet"/>
      <w:lvlText w:val=""/>
      <w:lvlJc w:val="left"/>
      <w:pPr>
        <w:tabs>
          <w:tab w:val="num" w:pos="1080"/>
        </w:tabs>
        <w:ind w:left="1080" w:hanging="360"/>
      </w:pPr>
      <w:rPr>
        <w:rFonts w:ascii="Symbol" w:hAnsi="Symbol" w:hint="default"/>
      </w:rPr>
    </w:lvl>
    <w:lvl w:ilvl="1" w:tplc="6902E56C" w:tentative="1">
      <w:start w:val="1"/>
      <w:numFmt w:val="bullet"/>
      <w:lvlText w:val="o"/>
      <w:lvlJc w:val="left"/>
      <w:pPr>
        <w:tabs>
          <w:tab w:val="num" w:pos="1800"/>
        </w:tabs>
        <w:ind w:left="1800" w:hanging="360"/>
      </w:pPr>
      <w:rPr>
        <w:rFonts w:ascii="Courier New" w:hAnsi="Courier New" w:hint="default"/>
      </w:rPr>
    </w:lvl>
    <w:lvl w:ilvl="2" w:tplc="14D80074" w:tentative="1">
      <w:start w:val="1"/>
      <w:numFmt w:val="bullet"/>
      <w:lvlText w:val=""/>
      <w:lvlJc w:val="left"/>
      <w:pPr>
        <w:tabs>
          <w:tab w:val="num" w:pos="2520"/>
        </w:tabs>
        <w:ind w:left="2520" w:hanging="360"/>
      </w:pPr>
      <w:rPr>
        <w:rFonts w:ascii="Wingdings" w:hAnsi="Wingdings" w:hint="default"/>
      </w:rPr>
    </w:lvl>
    <w:lvl w:ilvl="3" w:tplc="D58A9414" w:tentative="1">
      <w:start w:val="1"/>
      <w:numFmt w:val="bullet"/>
      <w:lvlText w:val=""/>
      <w:lvlJc w:val="left"/>
      <w:pPr>
        <w:tabs>
          <w:tab w:val="num" w:pos="3240"/>
        </w:tabs>
        <w:ind w:left="3240" w:hanging="360"/>
      </w:pPr>
      <w:rPr>
        <w:rFonts w:ascii="Symbol" w:hAnsi="Symbol" w:hint="default"/>
      </w:rPr>
    </w:lvl>
    <w:lvl w:ilvl="4" w:tplc="5D7A67D6" w:tentative="1">
      <w:start w:val="1"/>
      <w:numFmt w:val="bullet"/>
      <w:lvlText w:val="o"/>
      <w:lvlJc w:val="left"/>
      <w:pPr>
        <w:tabs>
          <w:tab w:val="num" w:pos="3960"/>
        </w:tabs>
        <w:ind w:left="3960" w:hanging="360"/>
      </w:pPr>
      <w:rPr>
        <w:rFonts w:ascii="Courier New" w:hAnsi="Courier New" w:hint="default"/>
      </w:rPr>
    </w:lvl>
    <w:lvl w:ilvl="5" w:tplc="112E5802" w:tentative="1">
      <w:start w:val="1"/>
      <w:numFmt w:val="bullet"/>
      <w:lvlText w:val=""/>
      <w:lvlJc w:val="left"/>
      <w:pPr>
        <w:tabs>
          <w:tab w:val="num" w:pos="4680"/>
        </w:tabs>
        <w:ind w:left="4680" w:hanging="360"/>
      </w:pPr>
      <w:rPr>
        <w:rFonts w:ascii="Wingdings" w:hAnsi="Wingdings" w:hint="default"/>
      </w:rPr>
    </w:lvl>
    <w:lvl w:ilvl="6" w:tplc="BC6CECB4" w:tentative="1">
      <w:start w:val="1"/>
      <w:numFmt w:val="bullet"/>
      <w:lvlText w:val=""/>
      <w:lvlJc w:val="left"/>
      <w:pPr>
        <w:tabs>
          <w:tab w:val="num" w:pos="5400"/>
        </w:tabs>
        <w:ind w:left="5400" w:hanging="360"/>
      </w:pPr>
      <w:rPr>
        <w:rFonts w:ascii="Symbol" w:hAnsi="Symbol" w:hint="default"/>
      </w:rPr>
    </w:lvl>
    <w:lvl w:ilvl="7" w:tplc="63FC1252" w:tentative="1">
      <w:start w:val="1"/>
      <w:numFmt w:val="bullet"/>
      <w:lvlText w:val="o"/>
      <w:lvlJc w:val="left"/>
      <w:pPr>
        <w:tabs>
          <w:tab w:val="num" w:pos="6120"/>
        </w:tabs>
        <w:ind w:left="6120" w:hanging="360"/>
      </w:pPr>
      <w:rPr>
        <w:rFonts w:ascii="Courier New" w:hAnsi="Courier New" w:hint="default"/>
      </w:rPr>
    </w:lvl>
    <w:lvl w:ilvl="8" w:tplc="2332B844"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769F0C17"/>
    <w:multiLevelType w:val="hybridMultilevel"/>
    <w:tmpl w:val="735E59C4"/>
    <w:lvl w:ilvl="0" w:tplc="4596EFAC">
      <w:start w:val="1"/>
      <w:numFmt w:val="lowerLetter"/>
      <w:lvlText w:val="(%1)"/>
      <w:lvlJc w:val="left"/>
      <w:pPr>
        <w:ind w:left="1080" w:hanging="360"/>
      </w:pPr>
      <w:rPr>
        <w:rFonts w:ascii="Times New Roman" w:hAnsi="Times New Roman" w:cs="Times New Roman" w:hint="default"/>
        <w:b w:val="0"/>
        <w:i w:val="0"/>
        <w:color w:val="auto"/>
        <w:sz w:val="22"/>
        <w:szCs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86756D5"/>
    <w:multiLevelType w:val="hybridMultilevel"/>
    <w:tmpl w:val="DA6260F4"/>
    <w:lvl w:ilvl="0" w:tplc="8F38BB48">
      <w:start w:val="1"/>
      <w:numFmt w:val="decimal"/>
      <w:lvlText w:val="%1."/>
      <w:lvlJc w:val="left"/>
      <w:pPr>
        <w:ind w:left="720" w:hanging="360"/>
      </w:pPr>
      <w:rPr>
        <w:rFonts w:ascii="Times New Roman" w:hAnsi="Times New Roman" w:cs="Times New Roman" w:hint="default"/>
        <w:b w:val="0"/>
        <w:color w:val="000000" w:themeColor="text1"/>
      </w:rPr>
    </w:lvl>
    <w:lvl w:ilvl="1" w:tplc="38A0E31A">
      <w:start w:val="1"/>
      <w:numFmt w:val="lowerLetter"/>
      <w:lvlText w:val="(%2)"/>
      <w:lvlJc w:val="left"/>
      <w:pPr>
        <w:ind w:left="1170" w:hanging="360"/>
      </w:pPr>
      <w:rPr>
        <w:rFonts w:hint="default"/>
      </w:rPr>
    </w:lvl>
    <w:lvl w:ilvl="2" w:tplc="E8AA4098">
      <w:start w:val="1"/>
      <w:numFmt w:val="lowerLetter"/>
      <w:lvlText w:val="(%3)"/>
      <w:lvlJc w:val="left"/>
      <w:pPr>
        <w:ind w:left="2340" w:hanging="360"/>
      </w:pPr>
      <w:rPr>
        <w:rFonts w:ascii="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3933F8"/>
    <w:multiLevelType w:val="hybridMultilevel"/>
    <w:tmpl w:val="F7506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075D50"/>
    <w:multiLevelType w:val="hybridMultilevel"/>
    <w:tmpl w:val="9F78264E"/>
    <w:lvl w:ilvl="0" w:tplc="C03A12C0">
      <w:start w:val="1"/>
      <w:numFmt w:val="lowerRoman"/>
      <w:lvlText w:val="%1."/>
      <w:lvlJc w:val="right"/>
      <w:pPr>
        <w:ind w:left="1800" w:hanging="360"/>
      </w:pPr>
      <w:rPr>
        <w:color w:val="000000" w:themeColor="text1"/>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FD43D39"/>
    <w:multiLevelType w:val="multilevel"/>
    <w:tmpl w:val="FF2A87F2"/>
    <w:lvl w:ilvl="0">
      <w:start w:val="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28228462">
    <w:abstractNumId w:val="35"/>
  </w:num>
  <w:num w:numId="2" w16cid:durableId="1164206032">
    <w:abstractNumId w:val="25"/>
  </w:num>
  <w:num w:numId="3" w16cid:durableId="1552569367">
    <w:abstractNumId w:val="33"/>
  </w:num>
  <w:num w:numId="4" w16cid:durableId="1230769027">
    <w:abstractNumId w:val="36"/>
  </w:num>
  <w:num w:numId="5" w16cid:durableId="1208682586">
    <w:abstractNumId w:val="4"/>
  </w:num>
  <w:num w:numId="6" w16cid:durableId="1283221843">
    <w:abstractNumId w:val="8"/>
  </w:num>
  <w:num w:numId="7" w16cid:durableId="1334601567">
    <w:abstractNumId w:val="8"/>
    <w:lvlOverride w:ilvl="0">
      <w:lvl w:ilvl="0">
        <w:start w:val="1"/>
        <w:numFmt w:val="decimal"/>
        <w:pStyle w:val="Heading1"/>
        <w:lvlText w:val="%1."/>
        <w:lvlJc w:val="left"/>
        <w:pPr>
          <w:tabs>
            <w:tab w:val="num" w:pos="360"/>
          </w:tabs>
        </w:pPr>
      </w:lvl>
    </w:lvlOverride>
    <w:lvlOverride w:ilvl="1">
      <w:lvl w:ilvl="1">
        <w:start w:val="1"/>
        <w:numFmt w:val="decimal"/>
        <w:pStyle w:val="Heading2"/>
        <w:lvlText w:val="%1.%2"/>
        <w:lvlJc w:val="left"/>
        <w:pPr>
          <w:tabs>
            <w:tab w:val="num" w:pos="0"/>
          </w:tabs>
        </w:pPr>
      </w:lvl>
    </w:lvlOverride>
    <w:lvlOverride w:ilvl="2">
      <w:lvl w:ilvl="2">
        <w:start w:val="1"/>
        <w:numFmt w:val="decimal"/>
        <w:pStyle w:val="Level3Heading"/>
        <w:lvlText w:val="%1.%2.%3"/>
        <w:lvlJc w:val="left"/>
        <w:pPr>
          <w:tabs>
            <w:tab w:val="num" w:pos="2250"/>
          </w:tabs>
        </w:pPr>
      </w:lvl>
    </w:lvlOverride>
    <w:lvlOverride w:ilvl="3">
      <w:lvl w:ilvl="3">
        <w:start w:val="1"/>
        <w:numFmt w:val="decimal"/>
        <w:pStyle w:val="Level4Heading"/>
        <w:lvlText w:val="%1.%2.%3.%4"/>
        <w:lvlJc w:val="left"/>
        <w:pPr>
          <w:tabs>
            <w:tab w:val="num" w:pos="270"/>
          </w:tabs>
        </w:pPr>
      </w:lvl>
    </w:lvlOverride>
    <w:lvlOverride w:ilvl="4">
      <w:lvl w:ilvl="4">
        <w:start w:val="1"/>
        <w:numFmt w:val="decimal"/>
        <w:lvlText w:val="%1.%2.%3.%4.%5"/>
        <w:lvlJc w:val="left"/>
        <w:pPr>
          <w:tabs>
            <w:tab w:val="num" w:pos="0"/>
          </w:tabs>
        </w:pPr>
      </w:lvl>
    </w:lvlOverride>
    <w:lvlOverride w:ilvl="5">
      <w:lvl w:ilvl="5">
        <w:start w:val="1"/>
        <w:numFmt w:val="decimal"/>
        <w:lvlText w:val="%1.%2.%3.%4.%5.%6"/>
        <w:lvlJc w:val="left"/>
        <w:pPr>
          <w:tabs>
            <w:tab w:val="num" w:pos="0"/>
          </w:tabs>
        </w:pPr>
      </w:lvl>
    </w:lvlOverride>
    <w:lvlOverride w:ilvl="6">
      <w:lvl w:ilvl="6">
        <w:start w:val="1"/>
        <w:numFmt w:val="decimal"/>
        <w:lvlText w:val="%1.%2.%3.%4.%5.%6.%7"/>
        <w:lvlJc w:val="left"/>
        <w:pPr>
          <w:tabs>
            <w:tab w:val="num" w:pos="0"/>
          </w:tabs>
        </w:pPr>
      </w:lvl>
    </w:lvlOverride>
    <w:lvlOverride w:ilvl="7">
      <w:lvl w:ilvl="7">
        <w:start w:val="1"/>
        <w:numFmt w:val="decimal"/>
        <w:lvlText w:val="%1.%2.%3.%4.%5.%6.%7.%8"/>
        <w:lvlJc w:val="left"/>
        <w:pPr>
          <w:tabs>
            <w:tab w:val="num" w:pos="0"/>
          </w:tabs>
        </w:pPr>
      </w:lvl>
    </w:lvlOverride>
    <w:lvlOverride w:ilvl="8">
      <w:lvl w:ilvl="8">
        <w:start w:val="1"/>
        <w:numFmt w:val="decimal"/>
        <w:lvlText w:val="%1.%2.%3.%4.%5.%6.%7.%8.%9"/>
        <w:lvlJc w:val="left"/>
        <w:pPr>
          <w:tabs>
            <w:tab w:val="num" w:pos="0"/>
          </w:tabs>
        </w:pPr>
      </w:lvl>
    </w:lvlOverride>
  </w:num>
  <w:num w:numId="8" w16cid:durableId="1779526570">
    <w:abstractNumId w:val="16"/>
  </w:num>
  <w:num w:numId="9" w16cid:durableId="1612318393">
    <w:abstractNumId w:val="6"/>
  </w:num>
  <w:num w:numId="10" w16cid:durableId="1062824812">
    <w:abstractNumId w:val="15"/>
  </w:num>
  <w:num w:numId="11" w16cid:durableId="619603818">
    <w:abstractNumId w:val="14"/>
  </w:num>
  <w:num w:numId="12" w16cid:durableId="731537346">
    <w:abstractNumId w:val="31"/>
  </w:num>
  <w:num w:numId="13" w16cid:durableId="2130775852">
    <w:abstractNumId w:val="7"/>
  </w:num>
  <w:num w:numId="14" w16cid:durableId="1903371671">
    <w:abstractNumId w:val="32"/>
  </w:num>
  <w:num w:numId="15" w16cid:durableId="175774551">
    <w:abstractNumId w:val="3"/>
  </w:num>
  <w:num w:numId="16" w16cid:durableId="972248332">
    <w:abstractNumId w:val="19"/>
  </w:num>
  <w:num w:numId="17" w16cid:durableId="1934508782">
    <w:abstractNumId w:val="18"/>
  </w:num>
  <w:num w:numId="18" w16cid:durableId="155536122">
    <w:abstractNumId w:val="0"/>
  </w:num>
  <w:num w:numId="19" w16cid:durableId="1906597592">
    <w:abstractNumId w:val="2"/>
  </w:num>
  <w:num w:numId="20" w16cid:durableId="1661423970">
    <w:abstractNumId w:val="17"/>
  </w:num>
  <w:num w:numId="21" w16cid:durableId="437987871">
    <w:abstractNumId w:val="1"/>
  </w:num>
  <w:num w:numId="22" w16cid:durableId="1843351672">
    <w:abstractNumId w:val="21"/>
  </w:num>
  <w:num w:numId="23" w16cid:durableId="1617322425">
    <w:abstractNumId w:val="5"/>
  </w:num>
  <w:num w:numId="24" w16cid:durableId="1780684771">
    <w:abstractNumId w:val="29"/>
  </w:num>
  <w:num w:numId="25" w16cid:durableId="305353971">
    <w:abstractNumId w:val="23"/>
  </w:num>
  <w:num w:numId="26" w16cid:durableId="1468543467">
    <w:abstractNumId w:val="11"/>
  </w:num>
  <w:num w:numId="27" w16cid:durableId="1528058463">
    <w:abstractNumId w:val="37"/>
  </w:num>
  <w:num w:numId="28" w16cid:durableId="462893936">
    <w:abstractNumId w:val="27"/>
  </w:num>
  <w:num w:numId="29" w16cid:durableId="1501195631">
    <w:abstractNumId w:val="10"/>
  </w:num>
  <w:num w:numId="30" w16cid:durableId="465898732">
    <w:abstractNumId w:val="28"/>
  </w:num>
  <w:num w:numId="31" w16cid:durableId="1901593545">
    <w:abstractNumId w:val="13"/>
  </w:num>
  <w:num w:numId="32" w16cid:durableId="1783257216">
    <w:abstractNumId w:val="22"/>
  </w:num>
  <w:num w:numId="33" w16cid:durableId="1792240912">
    <w:abstractNumId w:val="30"/>
  </w:num>
  <w:num w:numId="34" w16cid:durableId="305739266">
    <w:abstractNumId w:val="24"/>
  </w:num>
  <w:num w:numId="35" w16cid:durableId="592127373">
    <w:abstractNumId w:val="34"/>
  </w:num>
  <w:num w:numId="36" w16cid:durableId="817112694">
    <w:abstractNumId w:val="9"/>
  </w:num>
  <w:num w:numId="37" w16cid:durableId="1431195919">
    <w:abstractNumId w:val="12"/>
  </w:num>
  <w:num w:numId="38" w16cid:durableId="1072234907">
    <w:abstractNumId w:val="26"/>
  </w:num>
  <w:num w:numId="39" w16cid:durableId="133025421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617"/>
    <w:rsid w:val="0002644D"/>
    <w:rsid w:val="000560D9"/>
    <w:rsid w:val="00063C26"/>
    <w:rsid w:val="00113553"/>
    <w:rsid w:val="001307EA"/>
    <w:rsid w:val="0013345C"/>
    <w:rsid w:val="001353B6"/>
    <w:rsid w:val="001374F9"/>
    <w:rsid w:val="00142E2E"/>
    <w:rsid w:val="00157BDA"/>
    <w:rsid w:val="00191160"/>
    <w:rsid w:val="00196D1D"/>
    <w:rsid w:val="001C256E"/>
    <w:rsid w:val="0022048E"/>
    <w:rsid w:val="00247320"/>
    <w:rsid w:val="0026355B"/>
    <w:rsid w:val="00274C32"/>
    <w:rsid w:val="0029243B"/>
    <w:rsid w:val="002A7775"/>
    <w:rsid w:val="00312051"/>
    <w:rsid w:val="00485965"/>
    <w:rsid w:val="0054288C"/>
    <w:rsid w:val="0057287C"/>
    <w:rsid w:val="00632D3A"/>
    <w:rsid w:val="00665E66"/>
    <w:rsid w:val="00686EB7"/>
    <w:rsid w:val="006B6DB9"/>
    <w:rsid w:val="00714A6A"/>
    <w:rsid w:val="00784EBB"/>
    <w:rsid w:val="0079506F"/>
    <w:rsid w:val="007F0733"/>
    <w:rsid w:val="00861277"/>
    <w:rsid w:val="00867F26"/>
    <w:rsid w:val="00872091"/>
    <w:rsid w:val="008B72EC"/>
    <w:rsid w:val="009A53A2"/>
    <w:rsid w:val="009B4582"/>
    <w:rsid w:val="009C771B"/>
    <w:rsid w:val="00A01675"/>
    <w:rsid w:val="00A55617"/>
    <w:rsid w:val="00A85923"/>
    <w:rsid w:val="00AE11B8"/>
    <w:rsid w:val="00B04886"/>
    <w:rsid w:val="00B05744"/>
    <w:rsid w:val="00B458A1"/>
    <w:rsid w:val="00B500F6"/>
    <w:rsid w:val="00B6732F"/>
    <w:rsid w:val="00C06294"/>
    <w:rsid w:val="00C17085"/>
    <w:rsid w:val="00C565DF"/>
    <w:rsid w:val="00C65D58"/>
    <w:rsid w:val="00D13F11"/>
    <w:rsid w:val="00D400BB"/>
    <w:rsid w:val="00D41D65"/>
    <w:rsid w:val="00D55CEB"/>
    <w:rsid w:val="00DA7CB0"/>
    <w:rsid w:val="00DF3090"/>
    <w:rsid w:val="00E04395"/>
    <w:rsid w:val="00E35DE0"/>
    <w:rsid w:val="00F7321C"/>
    <w:rsid w:val="00F837E6"/>
    <w:rsid w:val="00FA50AB"/>
    <w:rsid w:val="00FA6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86D3A"/>
  <w15:docId w15:val="{614BE7AD-2F4D-46E5-8BA1-ADA469DF1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Level 1 Heading"/>
    <w:basedOn w:val="Normal"/>
    <w:next w:val="Normal"/>
    <w:link w:val="Heading1Char"/>
    <w:qFormat/>
    <w:rsid w:val="00247320"/>
    <w:pPr>
      <w:keepNext/>
      <w:keepLines/>
      <w:widowControl w:val="0"/>
      <w:numPr>
        <w:numId w:val="6"/>
      </w:numPr>
      <w:spacing w:after="0" w:line="240" w:lineRule="auto"/>
      <w:outlineLvl w:val="0"/>
    </w:pPr>
    <w:rPr>
      <w:rFonts w:ascii="Times New Roman" w:eastAsia="Times New Roman" w:hAnsi="Times New Roman" w:cs="Times New Roman"/>
      <w:b/>
      <w:caps/>
      <w:snapToGrid w:val="0"/>
      <w:color w:val="000000" w:themeColor="text1"/>
      <w:sz w:val="24"/>
      <w:szCs w:val="24"/>
    </w:rPr>
  </w:style>
  <w:style w:type="paragraph" w:styleId="Heading2">
    <w:name w:val="heading 2"/>
    <w:aliases w:val="Level 2 Heading"/>
    <w:basedOn w:val="Normal"/>
    <w:next w:val="Normal"/>
    <w:link w:val="Heading2Char"/>
    <w:qFormat/>
    <w:rsid w:val="00247320"/>
    <w:pPr>
      <w:keepNext/>
      <w:keepLines/>
      <w:widowControl w:val="0"/>
      <w:numPr>
        <w:ilvl w:val="1"/>
        <w:numId w:val="6"/>
      </w:numPr>
      <w:spacing w:after="0" w:line="240" w:lineRule="auto"/>
      <w:outlineLvl w:val="1"/>
    </w:pPr>
    <w:rPr>
      <w:rFonts w:ascii="Times New Roman" w:eastAsia="Times New Roman" w:hAnsi="Times New Roman" w:cs="Times New Roman"/>
      <w:b/>
      <w:snapToGrid w:val="0"/>
      <w:color w:val="000000" w:themeColor="text1"/>
      <w:sz w:val="24"/>
      <w:szCs w:val="24"/>
    </w:rPr>
  </w:style>
  <w:style w:type="paragraph" w:styleId="Heading3">
    <w:name w:val="heading 3"/>
    <w:basedOn w:val="Normal"/>
    <w:next w:val="Normal"/>
    <w:link w:val="Heading3Char"/>
    <w:uiPriority w:val="9"/>
    <w:semiHidden/>
    <w:unhideWhenUsed/>
    <w:qFormat/>
    <w:rsid w:val="0024732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4732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OW Letter Heading,hyperlink,@ Bulleted List not indented List Paragraph"/>
    <w:basedOn w:val="Normal"/>
    <w:link w:val="ListParagraphChar"/>
    <w:uiPriority w:val="34"/>
    <w:qFormat/>
    <w:rsid w:val="00A55617"/>
    <w:pPr>
      <w:spacing w:after="0" w:line="240" w:lineRule="auto"/>
      <w:ind w:left="720"/>
    </w:pPr>
    <w:rPr>
      <w:rFonts w:ascii="Calibri" w:hAnsi="Calibri" w:cs="Times New Roman"/>
    </w:rPr>
  </w:style>
  <w:style w:type="character" w:styleId="Hyperlink">
    <w:name w:val="Hyperlink"/>
    <w:basedOn w:val="DefaultParagraphFont"/>
    <w:uiPriority w:val="99"/>
    <w:unhideWhenUsed/>
    <w:rsid w:val="00A55617"/>
    <w:rPr>
      <w:color w:val="0000FF" w:themeColor="hyperlink"/>
      <w:u w:val="single"/>
    </w:rPr>
  </w:style>
  <w:style w:type="character" w:styleId="FollowedHyperlink">
    <w:name w:val="FollowedHyperlink"/>
    <w:basedOn w:val="DefaultParagraphFont"/>
    <w:uiPriority w:val="99"/>
    <w:semiHidden/>
    <w:unhideWhenUsed/>
    <w:rsid w:val="000560D9"/>
    <w:rPr>
      <w:color w:val="800080" w:themeColor="followedHyperlink"/>
      <w:u w:val="single"/>
    </w:rPr>
  </w:style>
  <w:style w:type="paragraph" w:styleId="Header">
    <w:name w:val="header"/>
    <w:basedOn w:val="Normal"/>
    <w:link w:val="HeaderChar"/>
    <w:uiPriority w:val="99"/>
    <w:unhideWhenUsed/>
    <w:rsid w:val="00C170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085"/>
  </w:style>
  <w:style w:type="paragraph" w:styleId="Footer">
    <w:name w:val="footer"/>
    <w:basedOn w:val="Normal"/>
    <w:link w:val="FooterChar"/>
    <w:uiPriority w:val="99"/>
    <w:unhideWhenUsed/>
    <w:rsid w:val="00C170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085"/>
  </w:style>
  <w:style w:type="paragraph" w:customStyle="1" w:styleId="1BulletList">
    <w:name w:val="1Bullet List"/>
    <w:rsid w:val="008B72EC"/>
    <w:pPr>
      <w:tabs>
        <w:tab w:val="left" w:pos="720"/>
      </w:tabs>
      <w:autoSpaceDE w:val="0"/>
      <w:autoSpaceDN w:val="0"/>
      <w:adjustRightInd w:val="0"/>
      <w:spacing w:after="0" w:line="240" w:lineRule="auto"/>
      <w:ind w:left="720" w:hanging="720"/>
    </w:pPr>
    <w:rPr>
      <w:rFonts w:ascii="Times New Roman" w:eastAsia="Times New Roman" w:hAnsi="Times New Roman" w:cs="Times New Roman"/>
      <w:szCs w:val="24"/>
    </w:rPr>
  </w:style>
  <w:style w:type="paragraph" w:customStyle="1" w:styleId="a">
    <w:name w:val="a"/>
    <w:basedOn w:val="Normal"/>
    <w:rsid w:val="008B72EC"/>
    <w:pPr>
      <w:snapToGrid w:val="0"/>
      <w:spacing w:after="0" w:line="240" w:lineRule="auto"/>
      <w:ind w:left="2160" w:hanging="1080"/>
    </w:pPr>
    <w:rPr>
      <w:rFonts w:ascii="Times New Roman" w:eastAsia="Times New Roman" w:hAnsi="Times New Roman" w:cs="Times New Roman"/>
    </w:rPr>
  </w:style>
  <w:style w:type="character" w:customStyle="1" w:styleId="Heading1Char">
    <w:name w:val="Heading 1 Char"/>
    <w:aliases w:val="Level 1 Heading Char"/>
    <w:basedOn w:val="DefaultParagraphFont"/>
    <w:link w:val="Heading1"/>
    <w:rsid w:val="00247320"/>
    <w:rPr>
      <w:rFonts w:ascii="Times New Roman" w:eastAsia="Times New Roman" w:hAnsi="Times New Roman" w:cs="Times New Roman"/>
      <w:b/>
      <w:caps/>
      <w:snapToGrid w:val="0"/>
      <w:color w:val="000000" w:themeColor="text1"/>
      <w:sz w:val="24"/>
      <w:szCs w:val="24"/>
    </w:rPr>
  </w:style>
  <w:style w:type="character" w:customStyle="1" w:styleId="Heading2Char">
    <w:name w:val="Heading 2 Char"/>
    <w:aliases w:val="Level 2 Heading Char"/>
    <w:basedOn w:val="DefaultParagraphFont"/>
    <w:link w:val="Heading2"/>
    <w:rsid w:val="00247320"/>
    <w:rPr>
      <w:rFonts w:ascii="Times New Roman" w:eastAsia="Times New Roman" w:hAnsi="Times New Roman" w:cs="Times New Roman"/>
      <w:b/>
      <w:snapToGrid w:val="0"/>
      <w:color w:val="000000" w:themeColor="text1"/>
      <w:sz w:val="24"/>
      <w:szCs w:val="24"/>
    </w:rPr>
  </w:style>
  <w:style w:type="numbering" w:customStyle="1" w:styleId="NumberingList">
    <w:name w:val="Numbering List"/>
    <w:uiPriority w:val="99"/>
    <w:rsid w:val="00247320"/>
    <w:pPr>
      <w:numPr>
        <w:numId w:val="5"/>
      </w:numPr>
    </w:pPr>
  </w:style>
  <w:style w:type="paragraph" w:customStyle="1" w:styleId="Level3Heading">
    <w:name w:val="Level 3 Heading"/>
    <w:basedOn w:val="Heading3"/>
    <w:next w:val="Normal"/>
    <w:link w:val="Level3HeadingChar"/>
    <w:qFormat/>
    <w:rsid w:val="00247320"/>
    <w:pPr>
      <w:widowControl w:val="0"/>
      <w:numPr>
        <w:ilvl w:val="2"/>
        <w:numId w:val="6"/>
      </w:numPr>
      <w:tabs>
        <w:tab w:val="num" w:pos="360"/>
      </w:tabs>
      <w:spacing w:before="0" w:line="240" w:lineRule="auto"/>
      <w:ind w:left="0" w:firstLine="0"/>
      <w:outlineLvl w:val="9"/>
    </w:pPr>
    <w:rPr>
      <w:rFonts w:ascii="Times New Roman" w:eastAsia="Times New Roman" w:hAnsi="Times New Roman" w:cs="Times New Roman"/>
      <w:b w:val="0"/>
      <w:bCs w:val="0"/>
      <w:snapToGrid w:val="0"/>
      <w:color w:val="000000"/>
      <w:sz w:val="24"/>
      <w:szCs w:val="24"/>
    </w:rPr>
  </w:style>
  <w:style w:type="paragraph" w:customStyle="1" w:styleId="Level4Heading">
    <w:name w:val="Level 4 Heading"/>
    <w:basedOn w:val="Heading4"/>
    <w:next w:val="Normal"/>
    <w:qFormat/>
    <w:rsid w:val="00247320"/>
    <w:pPr>
      <w:widowControl w:val="0"/>
      <w:numPr>
        <w:ilvl w:val="3"/>
        <w:numId w:val="6"/>
      </w:numPr>
      <w:tabs>
        <w:tab w:val="num" w:pos="360"/>
      </w:tabs>
      <w:spacing w:before="0" w:line="240" w:lineRule="auto"/>
      <w:ind w:left="0" w:firstLine="0"/>
      <w:outlineLvl w:val="9"/>
    </w:pPr>
    <w:rPr>
      <w:rFonts w:ascii="Times New Roman" w:eastAsia="Times New Roman" w:hAnsi="Times New Roman" w:cs="Times New Roman"/>
      <w:b w:val="0"/>
      <w:bCs w:val="0"/>
      <w:i w:val="0"/>
      <w:iCs w:val="0"/>
      <w:snapToGrid w:val="0"/>
      <w:color w:val="000000"/>
      <w:sz w:val="24"/>
      <w:szCs w:val="24"/>
    </w:rPr>
  </w:style>
  <w:style w:type="character" w:customStyle="1" w:styleId="Heading3Char">
    <w:name w:val="Heading 3 Char"/>
    <w:basedOn w:val="DefaultParagraphFont"/>
    <w:link w:val="Heading3"/>
    <w:uiPriority w:val="9"/>
    <w:semiHidden/>
    <w:rsid w:val="00247320"/>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247320"/>
    <w:rPr>
      <w:rFonts w:asciiTheme="majorHAnsi" w:eastAsiaTheme="majorEastAsia" w:hAnsiTheme="majorHAnsi" w:cstheme="majorBidi"/>
      <w:b/>
      <w:bCs/>
      <w:i/>
      <w:iCs/>
      <w:color w:val="4F81BD" w:themeColor="accent1"/>
    </w:rPr>
  </w:style>
  <w:style w:type="paragraph" w:styleId="BodyTextIndent">
    <w:name w:val="Body Text Indent"/>
    <w:basedOn w:val="Normal"/>
    <w:link w:val="BodyTextIndentChar"/>
    <w:semiHidden/>
    <w:rsid w:val="00274C32"/>
    <w:pPr>
      <w:widowControl w:val="0"/>
      <w:tabs>
        <w:tab w:val="left" w:pos="-1056"/>
        <w:tab w:val="left" w:pos="-720"/>
        <w:tab w:val="left" w:pos="0"/>
        <w:tab w:val="left" w:pos="348"/>
        <w:tab w:val="left" w:pos="720"/>
        <w:tab w:val="left" w:pos="1092"/>
        <w:tab w:val="left" w:pos="1438"/>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0" w:line="240" w:lineRule="auto"/>
      <w:ind w:left="1092"/>
    </w:pPr>
    <w:rPr>
      <w:rFonts w:ascii="Times New Roman" w:eastAsia="Times New Roman" w:hAnsi="Times New Roman" w:cs="Times New Roman"/>
      <w:snapToGrid w:val="0"/>
      <w:color w:val="000000"/>
      <w:sz w:val="24"/>
      <w:szCs w:val="24"/>
    </w:rPr>
  </w:style>
  <w:style w:type="character" w:customStyle="1" w:styleId="BodyTextIndentChar">
    <w:name w:val="Body Text Indent Char"/>
    <w:basedOn w:val="DefaultParagraphFont"/>
    <w:link w:val="BodyTextIndent"/>
    <w:semiHidden/>
    <w:rsid w:val="00274C32"/>
    <w:rPr>
      <w:rFonts w:ascii="Times New Roman" w:eastAsia="Times New Roman" w:hAnsi="Times New Roman" w:cs="Times New Roman"/>
      <w:snapToGrid w:val="0"/>
      <w:color w:val="000000"/>
      <w:sz w:val="24"/>
      <w:szCs w:val="24"/>
    </w:rPr>
  </w:style>
  <w:style w:type="paragraph" w:customStyle="1" w:styleId="Style4">
    <w:name w:val="Style 4"/>
    <w:basedOn w:val="Normal"/>
    <w:uiPriority w:val="99"/>
    <w:rsid w:val="00274C32"/>
    <w:pPr>
      <w:widowControl w:val="0"/>
      <w:spacing w:after="0" w:line="240" w:lineRule="auto"/>
    </w:pPr>
    <w:rPr>
      <w:rFonts w:ascii="Arial" w:eastAsia="Times New Roman" w:hAnsi="Arial" w:cs="Times New Roman"/>
      <w:color w:val="000000"/>
      <w:sz w:val="18"/>
      <w:szCs w:val="20"/>
    </w:rPr>
  </w:style>
  <w:style w:type="character" w:styleId="Emphasis">
    <w:name w:val="Emphasis"/>
    <w:basedOn w:val="DefaultParagraphFont"/>
    <w:qFormat/>
    <w:rsid w:val="00142E2E"/>
    <w:rPr>
      <w:i/>
    </w:rPr>
  </w:style>
  <w:style w:type="character" w:customStyle="1" w:styleId="ListParagraphChar">
    <w:name w:val="List Paragraph Char"/>
    <w:aliases w:val="SOW Letter Heading Char,hyperlink Char,@ Bulleted List not indented List Paragraph Char"/>
    <w:basedOn w:val="DefaultParagraphFont"/>
    <w:link w:val="ListParagraph"/>
    <w:uiPriority w:val="34"/>
    <w:locked/>
    <w:rsid w:val="00312051"/>
    <w:rPr>
      <w:rFonts w:ascii="Calibri" w:hAnsi="Calibri" w:cs="Times New Roman"/>
    </w:rPr>
  </w:style>
  <w:style w:type="paragraph" w:styleId="Index1">
    <w:name w:val="index 1"/>
    <w:basedOn w:val="Normal"/>
    <w:next w:val="Normal"/>
    <w:autoRedefine/>
    <w:semiHidden/>
    <w:rsid w:val="00D13F11"/>
    <w:pPr>
      <w:widowControl w:val="0"/>
      <w:tabs>
        <w:tab w:val="right" w:leader="dot" w:pos="9360"/>
      </w:tabs>
      <w:suppressAutoHyphens/>
      <w:spacing w:after="0" w:line="240" w:lineRule="auto"/>
      <w:ind w:left="1440" w:right="720" w:hanging="1440"/>
    </w:pPr>
    <w:rPr>
      <w:rFonts w:ascii="Times New Roman" w:eastAsia="Times New Roman" w:hAnsi="Times New Roman" w:cs="Times New Roman"/>
      <w:snapToGrid w:val="0"/>
      <w:color w:val="000000"/>
      <w:sz w:val="24"/>
      <w:szCs w:val="24"/>
    </w:rPr>
  </w:style>
  <w:style w:type="paragraph" w:customStyle="1" w:styleId="Level5Heading">
    <w:name w:val="Level 5 Heading"/>
    <w:basedOn w:val="Level4Heading"/>
    <w:next w:val="Normal"/>
    <w:qFormat/>
    <w:rsid w:val="00D13F11"/>
    <w:pPr>
      <w:keepLines w:val="0"/>
      <w:numPr>
        <w:ilvl w:val="0"/>
        <w:numId w:val="0"/>
      </w:numPr>
      <w:ind w:left="1296" w:hanging="1296"/>
    </w:pPr>
    <w:rPr>
      <w:color w:val="000000" w:themeColor="text1"/>
    </w:rPr>
  </w:style>
  <w:style w:type="numbering" w:customStyle="1" w:styleId="Style1">
    <w:name w:val="Style1"/>
    <w:rsid w:val="00D13F11"/>
    <w:pPr>
      <w:numPr>
        <w:numId w:val="38"/>
      </w:numPr>
    </w:pPr>
  </w:style>
  <w:style w:type="paragraph" w:customStyle="1" w:styleId="Level6Heading">
    <w:name w:val="Level 6 Heading"/>
    <w:basedOn w:val="Normal"/>
    <w:rsid w:val="00D13F11"/>
    <w:pPr>
      <w:widowControl w:val="0"/>
      <w:spacing w:after="0" w:line="240" w:lineRule="auto"/>
      <w:ind w:left="1728" w:hanging="1728"/>
    </w:pPr>
    <w:rPr>
      <w:rFonts w:ascii="Times New Roman" w:eastAsia="Times New Roman" w:hAnsi="Times New Roman" w:cs="Times New Roman"/>
      <w:snapToGrid w:val="0"/>
      <w:color w:val="000000"/>
      <w:sz w:val="24"/>
      <w:szCs w:val="24"/>
    </w:rPr>
  </w:style>
  <w:style w:type="character" w:customStyle="1" w:styleId="Level3HeadingChar">
    <w:name w:val="Level 3 Heading Char"/>
    <w:basedOn w:val="DefaultParagraphFont"/>
    <w:link w:val="Level3Heading"/>
    <w:locked/>
    <w:rsid w:val="00063C26"/>
    <w:rPr>
      <w:rFonts w:ascii="Times New Roman" w:eastAsia="Times New Roman" w:hAnsi="Times New Roman" w:cs="Times New Roman"/>
      <w:snapToGrid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tep.cancer.gov/investigatorResources/default.htm" TargetMode="External"/><Relationship Id="rId13" Type="http://schemas.openxmlformats.org/officeDocument/2006/relationships/hyperlink" Target="mailto:NCICTEPpubs@mail.nih.gov" TargetMode="External"/><Relationship Id="rId18" Type="http://schemas.openxmlformats.org/officeDocument/2006/relationships/hyperlink" Target="https://ctepcore.nci.nih.gov/aurora/login"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IBCoordinator@mail.nih.gov" TargetMode="External"/><Relationship Id="rId7" Type="http://schemas.openxmlformats.org/officeDocument/2006/relationships/hyperlink" Target="https://ctepcore.nci.nih.gov/rcr/" TargetMode="External"/><Relationship Id="rId12" Type="http://schemas.openxmlformats.org/officeDocument/2006/relationships/hyperlink" Target="mailto:pio@ctep.nci.nih.gov" TargetMode="External"/><Relationship Id="rId17" Type="http://schemas.openxmlformats.org/officeDocument/2006/relationships/hyperlink" Target="http://ctep.cancer.gov/branches/pmb/agent_management.htm"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RCRHelpDesk@nih.gov" TargetMode="External"/><Relationship Id="rId20" Type="http://schemas.openxmlformats.org/officeDocument/2006/relationships/hyperlink" Target="mailto:ctepreghelp@ctep.nci.nih.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io@ctep.nci.nih.gov" TargetMode="External"/><Relationship Id="rId24" Type="http://schemas.openxmlformats.org/officeDocument/2006/relationships/hyperlink" Target="mailto:ncicteppubs@mail.nih.gov" TargetMode="External"/><Relationship Id="rId5" Type="http://schemas.openxmlformats.org/officeDocument/2006/relationships/footnotes" Target="footnotes.xml"/><Relationship Id="rId15" Type="http://schemas.openxmlformats.org/officeDocument/2006/relationships/hyperlink" Target="http://ctep.cancer.gov/forms/" TargetMode="External"/><Relationship Id="rId23" Type="http://schemas.openxmlformats.org/officeDocument/2006/relationships/hyperlink" Target="http://ctep.cancer.gov/industryCollaborations2/intellectual_property.htm" TargetMode="External"/><Relationship Id="rId10" Type="http://schemas.openxmlformats.org/officeDocument/2006/relationships/hyperlink" Target="mailto:" TargetMode="External"/><Relationship Id="rId19" Type="http://schemas.openxmlformats.org/officeDocument/2006/relationships/hyperlink" Target="https://ctepcore.nci.nih.gov/iam/" TargetMode="External"/><Relationship Id="rId4" Type="http://schemas.openxmlformats.org/officeDocument/2006/relationships/webSettings" Target="webSettings.xml"/><Relationship Id="rId9" Type="http://schemas.openxmlformats.org/officeDocument/2006/relationships/hyperlink" Target="mailto:RCRHelpDesk@nih.gov" TargetMode="External"/><Relationship Id="rId14" Type="http://schemas.openxmlformats.org/officeDocument/2006/relationships/hyperlink" Target="mailto:PMBAfterHours@mail.nih.gov" TargetMode="External"/><Relationship Id="rId22" Type="http://schemas.openxmlformats.org/officeDocument/2006/relationships/hyperlink" Target="mailto:PMBAfterHours@mail.nih.gov"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2095</Words>
  <Characters>11947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NCI</Company>
  <LinksUpToDate>false</LinksUpToDate>
  <CharactersWithSpaces>14014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Howells, Rodney (NIH/NCI) [E]</dc:creator>
  <cp:lastModifiedBy>Howells, Rodney (NIH/NCI) [E]</cp:lastModifiedBy>
  <cp:revision>3</cp:revision>
  <dcterms:created xsi:type="dcterms:W3CDTF">2023-11-13T22:07:00Z</dcterms:created>
  <dcterms:modified xsi:type="dcterms:W3CDTF">2023-11-13T22:24:00Z</dcterms:modified>
</cp:coreProperties>
</file>